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52B3F" w14:textId="73D67991" w:rsidR="00350527" w:rsidRDefault="00A56049" w:rsidP="00213BC6">
      <w:pPr>
        <w:spacing w:after="0" w:line="360" w:lineRule="auto"/>
        <w:jc w:val="center"/>
        <w:rPr>
          <w:rFonts w:cstheme="minorHAnsi"/>
          <w:b/>
          <w:bCs/>
          <w:color w:val="000000" w:themeColor="text1"/>
        </w:rPr>
      </w:pPr>
      <w:r>
        <w:rPr>
          <w:b/>
          <w:color w:val="000000" w:themeColor="text1"/>
        </w:rPr>
        <w:t>Methodology for selecting expenditure</w:t>
      </w:r>
      <w:r w:rsidR="007A5C25">
        <w:rPr>
          <w:b/>
          <w:color w:val="000000" w:themeColor="text1"/>
        </w:rPr>
        <w:t>s</w:t>
      </w:r>
      <w:r>
        <w:rPr>
          <w:b/>
          <w:color w:val="000000" w:themeColor="text1"/>
        </w:rPr>
        <w:t xml:space="preserve"> for verification </w:t>
      </w:r>
    </w:p>
    <w:p w14:paraId="2D0FFCD8" w14:textId="77777777" w:rsidR="00213BC6" w:rsidRPr="00213BC6" w:rsidRDefault="00213BC6" w:rsidP="00213BC6">
      <w:pPr>
        <w:jc w:val="center"/>
        <w:rPr>
          <w:rFonts w:cstheme="minorHAnsi"/>
          <w:b/>
          <w:u w:val="single"/>
        </w:rPr>
      </w:pPr>
      <w:r>
        <w:rPr>
          <w:b/>
          <w:u w:val="single"/>
        </w:rPr>
        <w:t>Financial year: 1 July 2023 – 30 June 2024</w:t>
      </w:r>
    </w:p>
    <w:p w14:paraId="33E07C2E" w14:textId="368ADAE5" w:rsidR="00B721E8" w:rsidRPr="003B22AD" w:rsidRDefault="00B721E8" w:rsidP="00C06DFF">
      <w:pPr>
        <w:spacing w:after="0" w:line="360" w:lineRule="auto"/>
        <w:jc w:val="center"/>
        <w:rPr>
          <w:rFonts w:cstheme="minorHAnsi"/>
          <w:b/>
          <w:bCs/>
          <w:color w:val="000000" w:themeColor="text1"/>
        </w:rPr>
      </w:pPr>
    </w:p>
    <w:p w14:paraId="3EE77C74" w14:textId="7B388116" w:rsidR="00BF648E" w:rsidRPr="003B22AD" w:rsidRDefault="00BF648E" w:rsidP="750AA03E">
      <w:pPr>
        <w:rPr>
          <w:color w:val="000000" w:themeColor="text1"/>
        </w:rPr>
      </w:pPr>
    </w:p>
    <w:p w14:paraId="4E6586E6" w14:textId="46B6715A" w:rsidR="00BF648E" w:rsidRDefault="4ECC0051" w:rsidP="2D871E7C">
      <w:pPr>
        <w:pStyle w:val="Nagwek1"/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</w:pPr>
      <w:bookmarkStart w:id="0" w:name="_Toc134097328"/>
      <w:bookmarkStart w:id="1" w:name="_Toc1599348144"/>
      <w:r w:rsidRPr="2D871E7C">
        <w:rPr>
          <w:rFonts w:asciiTheme="minorHAnsi" w:hAnsiTheme="minorHAnsi"/>
          <w:b/>
          <w:bCs/>
          <w:color w:val="000000" w:themeColor="text1"/>
          <w:sz w:val="24"/>
          <w:szCs w:val="24"/>
        </w:rPr>
        <w:t>INTRODUCTION</w:t>
      </w:r>
      <w:bookmarkEnd w:id="0"/>
      <w:bookmarkEnd w:id="1"/>
    </w:p>
    <w:p w14:paraId="60275166" w14:textId="77777777" w:rsidR="00662FB7" w:rsidRPr="00662FB7" w:rsidRDefault="00662FB7" w:rsidP="00662FB7"/>
    <w:p w14:paraId="3C89D419" w14:textId="381A3DFE" w:rsidR="000550B2" w:rsidRPr="00E44EBE" w:rsidRDefault="000550B2" w:rsidP="009E0BE1">
      <w:pPr>
        <w:spacing w:after="0" w:line="360" w:lineRule="auto"/>
        <w:rPr>
          <w:rFonts w:cstheme="minorHAnsi"/>
          <w:i/>
          <w:iCs/>
          <w:color w:val="000000" w:themeColor="text1"/>
        </w:rPr>
      </w:pPr>
      <w:r>
        <w:rPr>
          <w:i/>
          <w:color w:val="000000" w:themeColor="text1"/>
        </w:rPr>
        <w:t>In accordance with the European Commission guidelines</w:t>
      </w:r>
      <w:r w:rsidR="00536CBF" w:rsidRPr="00E44EBE">
        <w:rPr>
          <w:rStyle w:val="Odwoanieprzypisudolnego"/>
          <w:rFonts w:cstheme="minorHAnsi"/>
          <w:i/>
          <w:iCs/>
          <w:color w:val="000000" w:themeColor="text1"/>
        </w:rPr>
        <w:footnoteReference w:id="2"/>
      </w:r>
      <w:r>
        <w:rPr>
          <w:i/>
          <w:color w:val="000000" w:themeColor="text1"/>
        </w:rPr>
        <w:t>, the Managing Authority</w:t>
      </w:r>
      <w:bookmarkStart w:id="2" w:name="_Hlk138063252"/>
      <w:r>
        <w:rPr>
          <w:i/>
          <w:color w:val="000000" w:themeColor="text1"/>
        </w:rPr>
        <w:t xml:space="preserve"> </w:t>
      </w:r>
      <w:bookmarkEnd w:id="2"/>
      <w:r>
        <w:rPr>
          <w:i/>
          <w:color w:val="000000" w:themeColor="text1"/>
        </w:rPr>
        <w:t>(MA) decided to carry out risk-based management verifications. Risks are defined at two levels:</w:t>
      </w:r>
    </w:p>
    <w:p w14:paraId="4C5EE021" w14:textId="53D6A7FC" w:rsidR="000550B2" w:rsidRPr="00E44EBE" w:rsidRDefault="000550B2" w:rsidP="000550B2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i/>
          <w:iCs/>
          <w:color w:val="000000" w:themeColor="text1"/>
        </w:rPr>
      </w:pPr>
      <w:r>
        <w:rPr>
          <w:i/>
          <w:color w:val="000000" w:themeColor="text1"/>
        </w:rPr>
        <w:t>Selection of requests for payment for verification.</w:t>
      </w:r>
    </w:p>
    <w:p w14:paraId="63E39587" w14:textId="3D7B0FCC" w:rsidR="000550B2" w:rsidRPr="00E44EBE" w:rsidRDefault="000550B2" w:rsidP="000550B2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i/>
          <w:iCs/>
          <w:color w:val="000000" w:themeColor="text1"/>
        </w:rPr>
      </w:pPr>
      <w:r>
        <w:rPr>
          <w:i/>
          <w:color w:val="000000" w:themeColor="text1"/>
        </w:rPr>
        <w:t>Selection of expenditure</w:t>
      </w:r>
      <w:r w:rsidR="00BC6926">
        <w:rPr>
          <w:i/>
          <w:color w:val="000000" w:themeColor="text1"/>
        </w:rPr>
        <w:t>s</w:t>
      </w:r>
      <w:r>
        <w:rPr>
          <w:i/>
          <w:color w:val="000000" w:themeColor="text1"/>
        </w:rPr>
        <w:t xml:space="preserve"> for selected requests for payment.</w:t>
      </w:r>
    </w:p>
    <w:p w14:paraId="27B05B0B" w14:textId="5F331840" w:rsidR="00C06DFF" w:rsidRPr="00E44EBE" w:rsidRDefault="435977FA" w:rsidP="4986EAB8">
      <w:pPr>
        <w:spacing w:after="0" w:line="360" w:lineRule="auto"/>
        <w:rPr>
          <w:i/>
          <w:iCs/>
          <w:color w:val="000000" w:themeColor="text1"/>
        </w:rPr>
      </w:pPr>
      <w:r>
        <w:rPr>
          <w:i/>
          <w:color w:val="000000" w:themeColor="text1"/>
        </w:rPr>
        <w:t xml:space="preserve">Requests for payment are selected by the </w:t>
      </w:r>
      <w:r w:rsidR="00CA373D">
        <w:rPr>
          <w:i/>
          <w:color w:val="000000" w:themeColor="text1"/>
        </w:rPr>
        <w:t>FLC</w:t>
      </w:r>
      <w:r>
        <w:rPr>
          <w:i/>
          <w:color w:val="000000" w:themeColor="text1"/>
        </w:rPr>
        <w:t xml:space="preserve"> on the basis of the methodology for selecting requests for payment for verification</w:t>
      </w:r>
      <w:r w:rsidR="00CA373D">
        <w:rPr>
          <w:i/>
          <w:color w:val="000000" w:themeColor="text1"/>
        </w:rPr>
        <w:t>.</w:t>
      </w:r>
    </w:p>
    <w:p w14:paraId="0F8F8F3B" w14:textId="29F804D1" w:rsidR="000550B2" w:rsidRPr="00E44EBE" w:rsidRDefault="0C77BA8C" w:rsidP="4986EAB8">
      <w:pPr>
        <w:spacing w:after="0" w:line="360" w:lineRule="auto"/>
        <w:rPr>
          <w:i/>
          <w:iCs/>
          <w:color w:val="000000" w:themeColor="text1"/>
        </w:rPr>
      </w:pPr>
      <w:r>
        <w:rPr>
          <w:i/>
          <w:color w:val="000000" w:themeColor="text1"/>
        </w:rPr>
        <w:t xml:space="preserve">Subsequently, for selected requests for payment, the </w:t>
      </w:r>
      <w:r w:rsidR="00CA373D">
        <w:rPr>
          <w:i/>
          <w:color w:val="000000" w:themeColor="text1"/>
        </w:rPr>
        <w:t>FLC</w:t>
      </w:r>
      <w:r>
        <w:rPr>
          <w:i/>
          <w:color w:val="000000" w:themeColor="text1"/>
        </w:rPr>
        <w:t xml:space="preserve"> selects the expenditure</w:t>
      </w:r>
      <w:r w:rsidR="00BC6926">
        <w:rPr>
          <w:i/>
          <w:color w:val="000000" w:themeColor="text1"/>
        </w:rPr>
        <w:t>s</w:t>
      </w:r>
      <w:r>
        <w:rPr>
          <w:i/>
          <w:color w:val="000000" w:themeColor="text1"/>
        </w:rPr>
        <w:t xml:space="preserve">  based on the methodology described below.</w:t>
      </w:r>
    </w:p>
    <w:p w14:paraId="40E693F0" w14:textId="7630DC0B" w:rsidR="000550B2" w:rsidRPr="00E44EBE" w:rsidRDefault="435977FA" w:rsidP="2D871E7C">
      <w:pPr>
        <w:spacing w:after="0" w:line="360" w:lineRule="auto"/>
        <w:rPr>
          <w:i/>
          <w:iCs/>
          <w:color w:val="000000" w:themeColor="text1"/>
        </w:rPr>
      </w:pPr>
      <w:r w:rsidRPr="2D871E7C">
        <w:rPr>
          <w:i/>
          <w:iCs/>
          <w:color w:val="000000" w:themeColor="text1"/>
        </w:rPr>
        <w:t>For the purposes of the methodology</w:t>
      </w:r>
      <w:r w:rsidRPr="2D871E7C">
        <w:rPr>
          <w:color w:val="000000" w:themeColor="text1"/>
        </w:rPr>
        <w:t xml:space="preserve"> </w:t>
      </w:r>
      <w:r w:rsidRPr="2D871E7C">
        <w:rPr>
          <w:i/>
          <w:iCs/>
          <w:color w:val="000000" w:themeColor="text1"/>
        </w:rPr>
        <w:t>for selecting expenditure</w:t>
      </w:r>
      <w:r w:rsidR="00BC6926" w:rsidRPr="2D871E7C">
        <w:rPr>
          <w:i/>
          <w:iCs/>
          <w:color w:val="000000" w:themeColor="text1"/>
        </w:rPr>
        <w:t>s</w:t>
      </w:r>
      <w:r w:rsidRPr="2D871E7C">
        <w:rPr>
          <w:i/>
          <w:iCs/>
          <w:color w:val="000000" w:themeColor="text1"/>
        </w:rPr>
        <w:t xml:space="preserve"> for verification, the MA</w:t>
      </w:r>
      <w:r w:rsidR="00C466CA">
        <w:rPr>
          <w:i/>
          <w:iCs/>
          <w:color w:val="000000" w:themeColor="text1"/>
        </w:rPr>
        <w:t xml:space="preserve"> </w:t>
      </w:r>
      <w:r w:rsidRPr="2D871E7C">
        <w:rPr>
          <w:i/>
          <w:iCs/>
          <w:color w:val="000000" w:themeColor="text1"/>
        </w:rPr>
        <w:t xml:space="preserve">divided projects that are implemented in </w:t>
      </w:r>
      <w:r w:rsidR="06155D6B" w:rsidRPr="2D871E7C">
        <w:rPr>
          <w:i/>
          <w:iCs/>
          <w:color w:val="000000" w:themeColor="text1"/>
        </w:rPr>
        <w:t xml:space="preserve">the </w:t>
      </w:r>
      <w:r w:rsidR="007F3D9C">
        <w:rPr>
          <w:i/>
          <w:iCs/>
          <w:color w:val="000000" w:themeColor="text1"/>
        </w:rPr>
        <w:t>Poland-Slovakia</w:t>
      </w:r>
      <w:r w:rsidR="06155D6B" w:rsidRPr="2D871E7C">
        <w:rPr>
          <w:i/>
          <w:iCs/>
          <w:color w:val="000000" w:themeColor="text1"/>
        </w:rPr>
        <w:t xml:space="preserve"> </w:t>
      </w:r>
      <w:r w:rsidRPr="2D871E7C">
        <w:rPr>
          <w:i/>
          <w:iCs/>
          <w:color w:val="000000" w:themeColor="text1"/>
        </w:rPr>
        <w:t xml:space="preserve"> programme  into groups. The MA took into account factors such as the value of the projects, the settlement method (</w:t>
      </w:r>
      <w:r w:rsidR="00BC6926" w:rsidRPr="2D871E7C">
        <w:rPr>
          <w:i/>
          <w:iCs/>
          <w:color w:val="000000" w:themeColor="text1"/>
        </w:rPr>
        <w:t xml:space="preserve">real </w:t>
      </w:r>
      <w:r w:rsidRPr="2D871E7C">
        <w:rPr>
          <w:i/>
          <w:iCs/>
          <w:color w:val="000000" w:themeColor="text1"/>
        </w:rPr>
        <w:t>expenditure</w:t>
      </w:r>
      <w:r w:rsidR="00BC6926" w:rsidRPr="2D871E7C">
        <w:rPr>
          <w:i/>
          <w:iCs/>
          <w:color w:val="000000" w:themeColor="text1"/>
        </w:rPr>
        <w:t>s</w:t>
      </w:r>
      <w:r w:rsidRPr="2D871E7C">
        <w:rPr>
          <w:i/>
          <w:iCs/>
          <w:color w:val="000000" w:themeColor="text1"/>
        </w:rPr>
        <w:t xml:space="preserve">, use of simplified </w:t>
      </w:r>
      <w:r w:rsidR="00BC6926" w:rsidRPr="2D871E7C">
        <w:rPr>
          <w:i/>
          <w:iCs/>
          <w:color w:val="000000" w:themeColor="text1"/>
        </w:rPr>
        <w:t>cost options</w:t>
      </w:r>
      <w:r w:rsidRPr="2D871E7C">
        <w:rPr>
          <w:i/>
          <w:iCs/>
          <w:color w:val="000000" w:themeColor="text1"/>
        </w:rPr>
        <w:t>), the nature of the activities implemented. The methodology for selecting expenditure</w:t>
      </w:r>
      <w:r w:rsidR="00BC6926" w:rsidRPr="2D871E7C">
        <w:rPr>
          <w:i/>
          <w:iCs/>
          <w:color w:val="000000" w:themeColor="text1"/>
        </w:rPr>
        <w:t>s</w:t>
      </w:r>
      <w:r w:rsidRPr="2D871E7C">
        <w:rPr>
          <w:i/>
          <w:iCs/>
          <w:color w:val="000000" w:themeColor="text1"/>
        </w:rPr>
        <w:t xml:space="preserve"> for the sample is different for each group. The MA</w:t>
      </w:r>
      <w:r w:rsidR="00B061A7">
        <w:rPr>
          <w:i/>
          <w:iCs/>
          <w:color w:val="000000" w:themeColor="text1"/>
        </w:rPr>
        <w:t xml:space="preserve"> </w:t>
      </w:r>
      <w:r w:rsidRPr="2D871E7C">
        <w:rPr>
          <w:i/>
          <w:iCs/>
          <w:color w:val="000000" w:themeColor="text1"/>
        </w:rPr>
        <w:t>allows for a random selection of expenditure</w:t>
      </w:r>
      <w:r w:rsidR="00BC6926" w:rsidRPr="2D871E7C">
        <w:rPr>
          <w:i/>
          <w:iCs/>
          <w:color w:val="000000" w:themeColor="text1"/>
        </w:rPr>
        <w:t>s</w:t>
      </w:r>
      <w:r w:rsidRPr="2D871E7C">
        <w:rPr>
          <w:i/>
          <w:iCs/>
          <w:color w:val="000000" w:themeColor="text1"/>
        </w:rPr>
        <w:t xml:space="preserve"> only for certain groups of projects, in particular when these are homogeneous projects or groups of costs, e.g. in terms of value/nature.</w:t>
      </w:r>
    </w:p>
    <w:p w14:paraId="13D420EE" w14:textId="48AC53FE" w:rsidR="000550B2" w:rsidRPr="00E44EBE" w:rsidRDefault="000550B2" w:rsidP="009E0BE1">
      <w:pPr>
        <w:spacing w:after="0" w:line="360" w:lineRule="auto"/>
        <w:rPr>
          <w:rFonts w:cstheme="minorHAnsi"/>
          <w:i/>
          <w:iCs/>
          <w:color w:val="000000" w:themeColor="text1"/>
        </w:rPr>
      </w:pPr>
      <w:r>
        <w:rPr>
          <w:i/>
          <w:color w:val="000000" w:themeColor="text1"/>
        </w:rPr>
        <w:t>Groups of projects identified by MA</w:t>
      </w:r>
      <w:r w:rsidR="00CA373D">
        <w:rPr>
          <w:i/>
          <w:color w:val="000000" w:themeColor="text1"/>
        </w:rPr>
        <w:t>:</w:t>
      </w:r>
    </w:p>
    <w:p w14:paraId="547DA13F" w14:textId="729FBE0F" w:rsidR="00594FEC" w:rsidRPr="00E44EBE" w:rsidRDefault="000550B2" w:rsidP="000550B2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i/>
          <w:iCs/>
          <w:color w:val="000000" w:themeColor="text1"/>
        </w:rPr>
      </w:pPr>
      <w:r>
        <w:rPr>
          <w:i/>
          <w:color w:val="000000" w:themeColor="text1"/>
        </w:rPr>
        <w:t>Regular projects,</w:t>
      </w:r>
    </w:p>
    <w:p w14:paraId="0245AFD7" w14:textId="1491DAC0" w:rsidR="00536CBF" w:rsidRPr="00E44EBE" w:rsidRDefault="00536CBF" w:rsidP="000550B2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i/>
          <w:iCs/>
          <w:color w:val="000000" w:themeColor="text1"/>
        </w:rPr>
      </w:pPr>
      <w:r>
        <w:rPr>
          <w:i/>
          <w:color w:val="000000" w:themeColor="text1"/>
        </w:rPr>
        <w:t xml:space="preserve">Small projects (with limited financial value) outside </w:t>
      </w:r>
      <w:r>
        <w:rPr>
          <w:i/>
        </w:rPr>
        <w:t>the Small Project Fund</w:t>
      </w:r>
      <w:r>
        <w:rPr>
          <w:i/>
          <w:color w:val="000000" w:themeColor="text1"/>
        </w:rPr>
        <w:t xml:space="preserve"> (SPF) and seed money projects,</w:t>
      </w:r>
    </w:p>
    <w:p w14:paraId="1E5A7C6B" w14:textId="79EF4CAC" w:rsidR="000550B2" w:rsidRPr="003B22AD" w:rsidRDefault="005F5082" w:rsidP="009E0BE1">
      <w:pPr>
        <w:spacing w:after="0" w:line="360" w:lineRule="auto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The </w:t>
      </w:r>
      <w:r w:rsidR="00CA373D">
        <w:rPr>
          <w:color w:val="000000" w:themeColor="text1"/>
        </w:rPr>
        <w:t>FLC</w:t>
      </w:r>
      <w:r>
        <w:rPr>
          <w:color w:val="000000" w:themeColor="text1"/>
        </w:rPr>
        <w:t xml:space="preserve"> uses the methodology described in this document</w:t>
      </w:r>
      <w:r w:rsidR="00CA373D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14:paraId="2B17F31B" w14:textId="4AC87A59" w:rsidR="002E5842" w:rsidRPr="002E5842" w:rsidRDefault="2C44E566" w:rsidP="2D871E7C">
      <w:pPr>
        <w:pStyle w:val="Nagwek1"/>
        <w:numPr>
          <w:ilvl w:val="0"/>
          <w:numId w:val="26"/>
        </w:numPr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</w:pPr>
      <w:bookmarkStart w:id="3" w:name="_Toc134097329"/>
      <w:bookmarkStart w:id="4" w:name="_Toc1579062120"/>
      <w:r w:rsidRPr="2D871E7C">
        <w:rPr>
          <w:rFonts w:asciiTheme="minorHAnsi" w:hAnsiTheme="minorHAnsi"/>
          <w:b/>
          <w:bCs/>
          <w:color w:val="000000" w:themeColor="text1"/>
          <w:sz w:val="24"/>
          <w:szCs w:val="24"/>
        </w:rPr>
        <w:t>Methodology for selecting expenditure</w:t>
      </w:r>
      <w:r w:rsidR="00B9172A" w:rsidRPr="2D871E7C">
        <w:rPr>
          <w:rFonts w:asciiTheme="minorHAnsi" w:hAnsiTheme="minorHAnsi"/>
          <w:b/>
          <w:bCs/>
          <w:color w:val="000000" w:themeColor="text1"/>
          <w:sz w:val="24"/>
          <w:szCs w:val="24"/>
        </w:rPr>
        <w:t>s</w:t>
      </w:r>
      <w:r w:rsidRPr="2D871E7C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for verification for regular projects, LIPs and small projects (projects with limited financial value, including seed money)</w:t>
      </w:r>
      <w:bookmarkEnd w:id="3"/>
      <w:bookmarkEnd w:id="4"/>
      <w:r w:rsidRPr="2D871E7C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</w:t>
      </w:r>
    </w:p>
    <w:p w14:paraId="169124E6" w14:textId="047CC3CC" w:rsidR="00A56049" w:rsidRPr="003B22AD" w:rsidRDefault="00A56049" w:rsidP="009E0BE1">
      <w:pPr>
        <w:spacing w:after="0" w:line="360" w:lineRule="auto"/>
        <w:ind w:left="360"/>
        <w:rPr>
          <w:rFonts w:cstheme="minorHAnsi"/>
          <w:color w:val="000000" w:themeColor="text1"/>
        </w:rPr>
      </w:pPr>
    </w:p>
    <w:p w14:paraId="41701A56" w14:textId="0212BDC6" w:rsidR="00A56049" w:rsidRPr="003B22AD" w:rsidRDefault="00A56049" w:rsidP="009E0BE1">
      <w:pPr>
        <w:spacing w:after="0" w:line="360" w:lineRule="auto"/>
        <w:rPr>
          <w:rFonts w:cstheme="minorHAnsi"/>
          <w:b/>
          <w:bCs/>
          <w:color w:val="000000" w:themeColor="text1"/>
        </w:rPr>
      </w:pPr>
      <w:r>
        <w:rPr>
          <w:b/>
          <w:color w:val="000000" w:themeColor="text1"/>
        </w:rPr>
        <w:t>Basic sample</w:t>
      </w:r>
    </w:p>
    <w:p w14:paraId="24070004" w14:textId="216A65E7" w:rsidR="007A712E" w:rsidRPr="003B22AD" w:rsidRDefault="007A712E" w:rsidP="009E0BE1">
      <w:pPr>
        <w:spacing w:after="0" w:line="360" w:lineRule="auto"/>
        <w:rPr>
          <w:rFonts w:cstheme="minorHAnsi"/>
          <w:b/>
          <w:bCs/>
          <w:color w:val="000000" w:themeColor="text1"/>
        </w:rPr>
      </w:pPr>
      <w:r>
        <w:rPr>
          <w:b/>
          <w:color w:val="000000" w:themeColor="text1"/>
        </w:rPr>
        <w:t>Method of selecting the basic sample:</w:t>
      </w:r>
    </w:p>
    <w:p w14:paraId="4D4402E9" w14:textId="1F93C77B" w:rsidR="00A56049" w:rsidRPr="00B061A7" w:rsidRDefault="00D36016" w:rsidP="00B061A7">
      <w:pPr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lastRenderedPageBreak/>
        <w:t xml:space="preserve">If </w:t>
      </w:r>
      <w:r w:rsidR="00B9172A">
        <w:rPr>
          <w:color w:val="000000" w:themeColor="text1"/>
        </w:rPr>
        <w:t>real</w:t>
      </w:r>
      <w:r>
        <w:rPr>
          <w:color w:val="000000" w:themeColor="text1"/>
        </w:rPr>
        <w:t xml:space="preserve"> costs occur in the project, the </w:t>
      </w:r>
      <w:r w:rsidR="00CA373D">
        <w:rPr>
          <w:color w:val="000000" w:themeColor="text1"/>
        </w:rPr>
        <w:t>FLC</w:t>
      </w:r>
      <w:r>
        <w:rPr>
          <w:color w:val="000000" w:themeColor="text1"/>
        </w:rPr>
        <w:t xml:space="preserve"> selects the basic sample comprising documents concerning</w:t>
      </w:r>
      <w:r w:rsidR="00CA373D">
        <w:rPr>
          <w:color w:val="000000" w:themeColor="text1"/>
        </w:rPr>
        <w:t xml:space="preserve"> </w:t>
      </w:r>
      <w:r w:rsidR="00A56049" w:rsidRPr="00B061A7">
        <w:rPr>
          <w:color w:val="000000" w:themeColor="text1"/>
        </w:rPr>
        <w:t>a minimum of 10%</w:t>
      </w:r>
      <w:r w:rsidR="00A56049" w:rsidRPr="003B22AD">
        <w:rPr>
          <w:rStyle w:val="Odwoanieprzypisudolnego"/>
          <w:rFonts w:cstheme="minorHAnsi"/>
          <w:color w:val="000000" w:themeColor="text1"/>
        </w:rPr>
        <w:footnoteReference w:id="3"/>
      </w:r>
      <w:r w:rsidR="00A56049" w:rsidRPr="00B061A7">
        <w:rPr>
          <w:color w:val="000000" w:themeColor="text1"/>
        </w:rPr>
        <w:t xml:space="preserve"> of the value of the expenditure</w:t>
      </w:r>
      <w:r w:rsidR="00B9172A" w:rsidRPr="00B061A7">
        <w:rPr>
          <w:color w:val="000000" w:themeColor="text1"/>
        </w:rPr>
        <w:t>s</w:t>
      </w:r>
      <w:r w:rsidR="00A56049" w:rsidRPr="00B061A7">
        <w:rPr>
          <w:color w:val="000000" w:themeColor="text1"/>
        </w:rPr>
        <w:t xml:space="preserve"> included in the </w:t>
      </w:r>
      <w:r w:rsidR="00B9172A" w:rsidRPr="00B061A7">
        <w:rPr>
          <w:color w:val="000000" w:themeColor="text1"/>
        </w:rPr>
        <w:t>r</w:t>
      </w:r>
      <w:r w:rsidR="00A56049" w:rsidRPr="00B061A7">
        <w:rPr>
          <w:color w:val="000000" w:themeColor="text1"/>
        </w:rPr>
        <w:t xml:space="preserve">equest for </w:t>
      </w:r>
      <w:r w:rsidR="00B9172A" w:rsidRPr="00B061A7">
        <w:rPr>
          <w:color w:val="000000" w:themeColor="text1"/>
        </w:rPr>
        <w:t>p</w:t>
      </w:r>
      <w:r w:rsidR="00A56049" w:rsidRPr="00B061A7">
        <w:rPr>
          <w:color w:val="000000" w:themeColor="text1"/>
        </w:rPr>
        <w:t xml:space="preserve">ayment </w:t>
      </w:r>
      <w:r w:rsidR="00CA373D" w:rsidRPr="00B061A7">
        <w:rPr>
          <w:color w:val="000000" w:themeColor="text1"/>
        </w:rPr>
        <w:t xml:space="preserve">(payment claim) </w:t>
      </w:r>
      <w:r w:rsidR="00A56049" w:rsidRPr="00B061A7">
        <w:rPr>
          <w:color w:val="000000" w:themeColor="text1"/>
        </w:rPr>
        <w:t>and no less than 2 expe</w:t>
      </w:r>
      <w:r w:rsidR="00B9172A" w:rsidRPr="00B061A7">
        <w:rPr>
          <w:color w:val="000000" w:themeColor="text1"/>
        </w:rPr>
        <w:t>nditures</w:t>
      </w:r>
      <w:r w:rsidR="003843A6" w:rsidRPr="00662FB7">
        <w:rPr>
          <w:rStyle w:val="Odwoanieprzypisudolnego"/>
          <w:rFonts w:cstheme="minorHAnsi"/>
          <w:color w:val="000000" w:themeColor="text1"/>
        </w:rPr>
        <w:footnoteReference w:id="4"/>
      </w:r>
      <w:r w:rsidR="00CA373D">
        <w:rPr>
          <w:color w:val="000000" w:themeColor="text1"/>
        </w:rPr>
        <w:t>.</w:t>
      </w:r>
    </w:p>
    <w:p w14:paraId="1332D2F7" w14:textId="32FC7B01" w:rsidR="00E12195" w:rsidRPr="00BB2A03" w:rsidRDefault="00E12195" w:rsidP="00B061A7">
      <w:pPr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The sample must contain minimum one expenditure in the sample from each </w:t>
      </w:r>
      <w:r w:rsidR="00B9172A">
        <w:rPr>
          <w:color w:val="000000" w:themeColor="text1"/>
        </w:rPr>
        <w:t xml:space="preserve">budget </w:t>
      </w:r>
      <w:r>
        <w:rPr>
          <w:color w:val="000000" w:themeColor="text1"/>
        </w:rPr>
        <w:t>category under which the expenditure was incurred.</w:t>
      </w:r>
    </w:p>
    <w:p w14:paraId="7F4FEDD8" w14:textId="1B07B294" w:rsidR="00DF1EF6" w:rsidRPr="00D86FC7" w:rsidRDefault="00A56049" w:rsidP="009E0BE1">
      <w:pPr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The </w:t>
      </w:r>
      <w:r w:rsidR="009E11A3">
        <w:rPr>
          <w:color w:val="000000" w:themeColor="text1"/>
        </w:rPr>
        <w:t>FLC</w:t>
      </w:r>
      <w:r>
        <w:rPr>
          <w:color w:val="000000" w:themeColor="text1"/>
        </w:rPr>
        <w:t xml:space="preserve"> samples the expenditure</w:t>
      </w:r>
      <w:r w:rsidR="00985155">
        <w:rPr>
          <w:color w:val="000000" w:themeColor="text1"/>
        </w:rPr>
        <w:t>s</w:t>
      </w:r>
      <w:r>
        <w:rPr>
          <w:color w:val="000000" w:themeColor="text1"/>
        </w:rPr>
        <w:t xml:space="preserve"> based on risk factors:</w:t>
      </w:r>
    </w:p>
    <w:p w14:paraId="453083BB" w14:textId="59631DC8" w:rsidR="00A56049" w:rsidRPr="00D86FC7" w:rsidRDefault="41DF55EA" w:rsidP="716198AF">
      <w:pPr>
        <w:pStyle w:val="Akapitzlist"/>
        <w:numPr>
          <w:ilvl w:val="0"/>
          <w:numId w:val="6"/>
        </w:numPr>
        <w:spacing w:after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expenditure</w:t>
      </w:r>
      <w:r w:rsidR="00985155">
        <w:rPr>
          <w:color w:val="000000" w:themeColor="text1"/>
        </w:rPr>
        <w:t>s</w:t>
      </w:r>
      <w:r>
        <w:rPr>
          <w:color w:val="000000" w:themeColor="text1"/>
        </w:rPr>
        <w:t xml:space="preserve"> with the highest value included in the </w:t>
      </w:r>
      <w:r w:rsidR="00985155">
        <w:rPr>
          <w:color w:val="000000" w:themeColor="text1"/>
        </w:rPr>
        <w:t>r</w:t>
      </w:r>
      <w:r>
        <w:rPr>
          <w:color w:val="000000" w:themeColor="text1"/>
        </w:rPr>
        <w:t xml:space="preserve">equest for </w:t>
      </w:r>
      <w:r w:rsidR="00985155">
        <w:rPr>
          <w:color w:val="000000" w:themeColor="text1"/>
        </w:rPr>
        <w:t>p</w:t>
      </w:r>
      <w:r>
        <w:rPr>
          <w:color w:val="000000" w:themeColor="text1"/>
        </w:rPr>
        <w:t xml:space="preserve">ayment, </w:t>
      </w:r>
    </w:p>
    <w:p w14:paraId="65D14A52" w14:textId="621EB55B" w:rsidR="00DF1EF6" w:rsidRPr="00BE64DC" w:rsidRDefault="007A712E" w:rsidP="009233C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expenditure</w:t>
      </w:r>
      <w:r w:rsidR="00985155">
        <w:rPr>
          <w:color w:val="000000" w:themeColor="text1"/>
        </w:rPr>
        <w:t>s</w:t>
      </w:r>
      <w:r>
        <w:rPr>
          <w:color w:val="000000" w:themeColor="text1"/>
        </w:rPr>
        <w:t xml:space="preserve"> which raises a reasonable suspicion of fraud</w:t>
      </w:r>
      <w:r w:rsidR="009E11A3">
        <w:rPr>
          <w:rStyle w:val="Odwoanieprzypisudolnego"/>
          <w:color w:val="000000" w:themeColor="text1"/>
        </w:rPr>
        <w:footnoteReference w:id="5"/>
      </w:r>
      <w:r>
        <w:rPr>
          <w:color w:val="000000" w:themeColor="text1"/>
        </w:rPr>
        <w:t xml:space="preserve">, </w:t>
      </w:r>
    </w:p>
    <w:p w14:paraId="20FF2857" w14:textId="4F2045EA" w:rsidR="00FE655E" w:rsidRPr="003B22AD" w:rsidRDefault="00F9100B" w:rsidP="009233C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expenditure</w:t>
      </w:r>
      <w:r w:rsidR="00985155">
        <w:rPr>
          <w:color w:val="000000" w:themeColor="text1"/>
        </w:rPr>
        <w:t>s</w:t>
      </w:r>
      <w:r>
        <w:rPr>
          <w:color w:val="000000" w:themeColor="text1"/>
        </w:rPr>
        <w:t xml:space="preserve"> which may suggest the occurrence of selected infringements gathered in Annex no. 5 to the Guidelines, </w:t>
      </w:r>
      <w:r>
        <w:rPr>
          <w:i/>
          <w:color w:val="000000" w:themeColor="text1"/>
        </w:rPr>
        <w:t>Most frequently found infringements of the competition rule</w:t>
      </w:r>
      <w:r>
        <w:rPr>
          <w:color w:val="000000" w:themeColor="text1"/>
        </w:rPr>
        <w:t>., e.g. expenditure suggesting that the contract was divided into parts, expenditure</w:t>
      </w:r>
      <w:r w:rsidR="00985155">
        <w:rPr>
          <w:color w:val="000000" w:themeColor="text1"/>
        </w:rPr>
        <w:t>s</w:t>
      </w:r>
      <w:r>
        <w:rPr>
          <w:color w:val="000000" w:themeColor="text1"/>
        </w:rPr>
        <w:t xml:space="preserve"> of the value just below PLN 50 000 </w:t>
      </w:r>
      <w:r w:rsidR="00985155">
        <w:rPr>
          <w:color w:val="000000" w:themeColor="text1"/>
        </w:rPr>
        <w:t>net</w:t>
      </w:r>
      <w:r>
        <w:rPr>
          <w:color w:val="000000" w:themeColor="text1"/>
        </w:rPr>
        <w:t>, which may suggest underestimation of the contract value</w:t>
      </w:r>
      <w:r w:rsidR="009E11A3">
        <w:rPr>
          <w:rStyle w:val="Odwoanieprzypisudolnego"/>
          <w:color w:val="000000" w:themeColor="text1"/>
        </w:rPr>
        <w:footnoteReference w:id="6"/>
      </w:r>
      <w:r>
        <w:rPr>
          <w:color w:val="000000" w:themeColor="text1"/>
        </w:rPr>
        <w:t>.</w:t>
      </w:r>
    </w:p>
    <w:p w14:paraId="65D161E2" w14:textId="4A68FE4B" w:rsidR="000C3885" w:rsidRPr="003B22AD" w:rsidRDefault="00763177" w:rsidP="009233CC">
      <w:pPr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If the project contains expenditure accounted for by:</w:t>
      </w:r>
    </w:p>
    <w:p w14:paraId="34BD52D4" w14:textId="2C615C99" w:rsidR="000C3885" w:rsidRPr="003B22AD" w:rsidRDefault="00763177" w:rsidP="000C388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flat rate(s)</w:t>
      </w:r>
      <w:r w:rsidR="008C65A7">
        <w:rPr>
          <w:color w:val="000000" w:themeColor="text1"/>
        </w:rPr>
        <w:t xml:space="preserve"> – </w:t>
      </w:r>
      <w:r>
        <w:rPr>
          <w:color w:val="000000" w:themeColor="text1"/>
        </w:rPr>
        <w:t>all flat rates are checked,</w:t>
      </w:r>
    </w:p>
    <w:p w14:paraId="09024D57" w14:textId="07E036C4" w:rsidR="000C3885" w:rsidRPr="003B22AD" w:rsidRDefault="009233CC" w:rsidP="000C388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lump sums (</w:t>
      </w:r>
      <w:r w:rsidR="002E7842">
        <w:rPr>
          <w:color w:val="000000" w:themeColor="text1"/>
        </w:rPr>
        <w:t>agreed for programme</w:t>
      </w:r>
      <w:r>
        <w:rPr>
          <w:color w:val="000000" w:themeColor="text1"/>
        </w:rPr>
        <w:t xml:space="preserve">) </w:t>
      </w:r>
      <w:r w:rsidR="008C65A7">
        <w:rPr>
          <w:color w:val="000000" w:themeColor="text1"/>
        </w:rPr>
        <w:t>–</w:t>
      </w:r>
      <w:r>
        <w:rPr>
          <w:color w:val="000000" w:themeColor="text1"/>
        </w:rPr>
        <w:t xml:space="preserve"> a minimum of one lump sum is checked, </w:t>
      </w:r>
    </w:p>
    <w:p w14:paraId="3C6086B5" w14:textId="378865F4" w:rsidR="009233CC" w:rsidRPr="00C277BC" w:rsidRDefault="009233CC" w:rsidP="000C3885">
      <w:pPr>
        <w:pStyle w:val="Akapitzlist"/>
        <w:numPr>
          <w:ilvl w:val="0"/>
          <w:numId w:val="7"/>
        </w:numPr>
        <w:spacing w:after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unit </w:t>
      </w:r>
      <w:r w:rsidR="002E7842">
        <w:rPr>
          <w:color w:val="000000" w:themeColor="text1"/>
        </w:rPr>
        <w:t>costs</w:t>
      </w:r>
      <w:r w:rsidR="008C65A7">
        <w:rPr>
          <w:color w:val="000000" w:themeColor="text1"/>
        </w:rPr>
        <w:t xml:space="preserve"> – </w:t>
      </w:r>
      <w:r>
        <w:rPr>
          <w:color w:val="000000" w:themeColor="text1"/>
        </w:rPr>
        <w:t>at least 3 items (with the highest value) are checked</w:t>
      </w:r>
      <w:r w:rsidR="008C65A7">
        <w:rPr>
          <w:color w:val="000000" w:themeColor="text1"/>
        </w:rPr>
        <w:t xml:space="preserve"> </w:t>
      </w:r>
      <w:r>
        <w:rPr>
          <w:color w:val="000000" w:themeColor="text1"/>
        </w:rPr>
        <w:t>from the list of expenditure</w:t>
      </w:r>
      <w:r w:rsidR="002E7842">
        <w:rPr>
          <w:color w:val="000000" w:themeColor="text1"/>
        </w:rPr>
        <w:t xml:space="preserve">s </w:t>
      </w:r>
      <w:r w:rsidR="00467298" w:rsidRPr="00BE64DC">
        <w:rPr>
          <w:rStyle w:val="Odwoanieprzypisudolnego"/>
          <w:color w:val="000000" w:themeColor="text1"/>
        </w:rPr>
        <w:footnoteReference w:id="7"/>
      </w:r>
      <w:r>
        <w:rPr>
          <w:color w:val="000000" w:themeColor="text1"/>
        </w:rPr>
        <w:t>,</w:t>
      </w:r>
    </w:p>
    <w:p w14:paraId="7DA57512" w14:textId="7A6E443B" w:rsidR="007A712E" w:rsidRPr="003B22AD" w:rsidRDefault="000C3885" w:rsidP="009E0BE1">
      <w:pPr>
        <w:spacing w:after="0" w:line="360" w:lineRule="auto"/>
        <w:ind w:left="720"/>
        <w:jc w:val="both"/>
        <w:rPr>
          <w:color w:val="000000" w:themeColor="text1"/>
        </w:rPr>
      </w:pPr>
      <w:r>
        <w:rPr>
          <w:color w:val="000000" w:themeColor="text1"/>
        </w:rPr>
        <w:t xml:space="preserve">In the case of verifying the </w:t>
      </w:r>
      <w:r w:rsidR="002E7842">
        <w:rPr>
          <w:color w:val="000000" w:themeColor="text1"/>
        </w:rPr>
        <w:t xml:space="preserve">regularity of </w:t>
      </w:r>
      <w:r>
        <w:rPr>
          <w:color w:val="000000" w:themeColor="text1"/>
        </w:rPr>
        <w:t>expenditure</w:t>
      </w:r>
      <w:r w:rsidR="002E7842">
        <w:rPr>
          <w:color w:val="000000" w:themeColor="text1"/>
        </w:rPr>
        <w:t>s</w:t>
      </w:r>
      <w:r>
        <w:rPr>
          <w:color w:val="000000" w:themeColor="text1"/>
        </w:rPr>
        <w:t xml:space="preserve"> referred to in subparagraphs a)</w:t>
      </w:r>
      <w:r w:rsidR="008C65A7">
        <w:rPr>
          <w:color w:val="000000" w:themeColor="text1"/>
        </w:rPr>
        <w:t xml:space="preserve"> – </w:t>
      </w:r>
      <w:r>
        <w:rPr>
          <w:color w:val="000000" w:themeColor="text1"/>
        </w:rPr>
        <w:t xml:space="preserve">c), the </w:t>
      </w:r>
      <w:r w:rsidR="009E11A3">
        <w:rPr>
          <w:color w:val="000000" w:themeColor="text1"/>
        </w:rPr>
        <w:t>FLC</w:t>
      </w:r>
      <w:r>
        <w:rPr>
          <w:color w:val="000000" w:themeColor="text1"/>
        </w:rPr>
        <w:t xml:space="preserve"> verifies the settlement in accordance with the requirements of chapter 3.1.1 of the Guidelines and in accordance with the programme rules</w:t>
      </w:r>
      <w:r w:rsidR="002E7842">
        <w:rPr>
          <w:color w:val="000000" w:themeColor="text1"/>
        </w:rPr>
        <w:t>,</w:t>
      </w:r>
      <w:r>
        <w:rPr>
          <w:color w:val="000000" w:themeColor="text1"/>
        </w:rPr>
        <w:t xml:space="preserve"> if established.</w:t>
      </w:r>
    </w:p>
    <w:p w14:paraId="5128EF23" w14:textId="733C820B" w:rsidR="00FE655E" w:rsidRPr="00B9677D" w:rsidRDefault="00006016" w:rsidP="0064478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If, as part of the selection of a sample of expenditure in accordance with paragraphs 1 to 3, the </w:t>
      </w:r>
      <w:r w:rsidR="009E11A3">
        <w:rPr>
          <w:color w:val="000000" w:themeColor="text1"/>
        </w:rPr>
        <w:t>FLC</w:t>
      </w:r>
      <w:r>
        <w:rPr>
          <w:color w:val="000000" w:themeColor="text1"/>
        </w:rPr>
        <w:t xml:space="preserve"> selects expenditure concerning a contract with an estimated value equal to or higher </w:t>
      </w:r>
      <w:r>
        <w:rPr>
          <w:color w:val="000000" w:themeColor="text1"/>
        </w:rPr>
        <w:lastRenderedPageBreak/>
        <w:t>than PLN 50 000 net and lower than PLN 130 000 net, the NC verifies the correctness of the selection of the contractor in accordance with the competition rule</w:t>
      </w:r>
      <w:r w:rsidR="009E11A3">
        <w:rPr>
          <w:rStyle w:val="Odwoanieprzypisudolnego"/>
          <w:color w:val="000000" w:themeColor="text1"/>
        </w:rPr>
        <w:footnoteReference w:id="8"/>
      </w:r>
      <w:r>
        <w:rPr>
          <w:color w:val="000000" w:themeColor="text1"/>
        </w:rPr>
        <w:t xml:space="preserve">. </w:t>
      </w:r>
    </w:p>
    <w:p w14:paraId="5CAB43CB" w14:textId="3FFACE81" w:rsidR="00395CF9" w:rsidRPr="00B9677D" w:rsidRDefault="009548FE" w:rsidP="2D871E7C">
      <w:pPr>
        <w:pStyle w:val="Akapitzlist"/>
        <w:numPr>
          <w:ilvl w:val="0"/>
          <w:numId w:val="2"/>
        </w:numPr>
        <w:spacing w:after="0" w:line="360" w:lineRule="auto"/>
        <w:jc w:val="both"/>
        <w:rPr>
          <w:color w:val="000000" w:themeColor="text1"/>
        </w:rPr>
      </w:pPr>
      <w:r w:rsidRPr="2D871E7C">
        <w:rPr>
          <w:color w:val="000000" w:themeColor="text1"/>
        </w:rPr>
        <w:t xml:space="preserve">The </w:t>
      </w:r>
      <w:r w:rsidR="009E11A3" w:rsidRPr="2D871E7C">
        <w:rPr>
          <w:color w:val="000000" w:themeColor="text1"/>
        </w:rPr>
        <w:t>FLC</w:t>
      </w:r>
      <w:r w:rsidRPr="2D871E7C">
        <w:rPr>
          <w:color w:val="000000" w:themeColor="text1"/>
        </w:rPr>
        <w:t xml:space="preserve"> selects the expenditure</w:t>
      </w:r>
      <w:r w:rsidR="00982E6D" w:rsidRPr="2D871E7C">
        <w:rPr>
          <w:color w:val="000000" w:themeColor="text1"/>
        </w:rPr>
        <w:t>s</w:t>
      </w:r>
      <w:r w:rsidRPr="2D871E7C">
        <w:rPr>
          <w:color w:val="000000" w:themeColor="text1"/>
        </w:rPr>
        <w:t xml:space="preserve"> in accordance with the criteria set out in paragraph I irrespective of whether </w:t>
      </w:r>
      <w:r w:rsidR="00982E6D" w:rsidRPr="2D871E7C">
        <w:rPr>
          <w:color w:val="000000" w:themeColor="text1"/>
        </w:rPr>
        <w:t>they</w:t>
      </w:r>
      <w:r w:rsidRPr="2D871E7C">
        <w:rPr>
          <w:color w:val="000000" w:themeColor="text1"/>
        </w:rPr>
        <w:t xml:space="preserve"> relate to procedures awarded under the PPL ACT or under the competition rule: </w:t>
      </w:r>
    </w:p>
    <w:p w14:paraId="5B1984E4" w14:textId="13D10C59" w:rsidR="00395CF9" w:rsidRPr="00B9677D" w:rsidRDefault="00395CF9" w:rsidP="0013404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if the selected expenditure relates to the contract referred to in paragraph 5, the </w:t>
      </w:r>
      <w:r w:rsidR="00982E6D">
        <w:rPr>
          <w:color w:val="000000" w:themeColor="text1"/>
        </w:rPr>
        <w:t>N</w:t>
      </w:r>
      <w:r>
        <w:rPr>
          <w:color w:val="000000" w:themeColor="text1"/>
        </w:rPr>
        <w:t>C proceeds as indicated in paragraph 5;</w:t>
      </w:r>
    </w:p>
    <w:p w14:paraId="1DC3939D" w14:textId="2BC4530D" w:rsidR="009548FE" w:rsidRPr="00B9677D" w:rsidRDefault="00F25F7A" w:rsidP="2D871E7C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if the selected expenditure relates to the contract awarded under the PPL Act or a contract with a value equal to or greater than PLN 130 000 net, the NC verifies the document but does not verify the correctness of the public procurement procedure</w:t>
      </w:r>
      <w:r w:rsidR="00E55193" w:rsidRPr="2D871E7C">
        <w:rPr>
          <w:rStyle w:val="Odwoanieprzypisudolnego"/>
          <w:color w:val="000000" w:themeColor="text1"/>
        </w:rPr>
        <w:footnoteReference w:id="9"/>
      </w:r>
      <w:r>
        <w:rPr>
          <w:color w:val="000000" w:themeColor="text1"/>
        </w:rPr>
        <w:t xml:space="preserve">. The NC verifies the procedure on the basis of </w:t>
      </w:r>
      <w:r w:rsidR="00982E6D" w:rsidRPr="2D871E7C">
        <w:rPr>
          <w:color w:val="000000" w:themeColor="text1"/>
        </w:rPr>
        <w:t xml:space="preserve">separate </w:t>
      </w:r>
      <w:r>
        <w:rPr>
          <w:color w:val="000000" w:themeColor="text1"/>
        </w:rPr>
        <w:t>document, i.e. the Methodology for the selection of public procurement procedures for ex-post controls and the competition rule, if the analysis shows that the procedure is risky</w:t>
      </w:r>
      <w:r w:rsidR="009E11A3">
        <w:rPr>
          <w:rStyle w:val="Odwoanieprzypisudolnego"/>
          <w:color w:val="000000" w:themeColor="text1"/>
        </w:rPr>
        <w:footnoteReference w:id="10"/>
      </w:r>
      <w:r>
        <w:rPr>
          <w:color w:val="000000" w:themeColor="text1"/>
        </w:rPr>
        <w:t>.</w:t>
      </w:r>
    </w:p>
    <w:p w14:paraId="3890D3EC" w14:textId="77777777" w:rsidR="007E2F7B" w:rsidRDefault="007E2F7B" w:rsidP="005019B4">
      <w:pPr>
        <w:spacing w:after="0" w:line="360" w:lineRule="auto"/>
        <w:rPr>
          <w:b/>
          <w:color w:val="000000" w:themeColor="text1"/>
        </w:rPr>
      </w:pPr>
    </w:p>
    <w:p w14:paraId="075ADA72" w14:textId="25B2E7CD" w:rsidR="005019B4" w:rsidRPr="00B9677D" w:rsidRDefault="007E2F7B" w:rsidP="005019B4">
      <w:pPr>
        <w:spacing w:after="0" w:line="360" w:lineRule="auto"/>
        <w:rPr>
          <w:rFonts w:cstheme="minorHAnsi"/>
          <w:b/>
          <w:bCs/>
          <w:color w:val="000000" w:themeColor="text1"/>
        </w:rPr>
      </w:pPr>
      <w:r>
        <w:rPr>
          <w:b/>
          <w:color w:val="000000" w:themeColor="text1"/>
        </w:rPr>
        <w:t xml:space="preserve">Extended </w:t>
      </w:r>
      <w:r w:rsidR="005019B4">
        <w:rPr>
          <w:b/>
          <w:color w:val="000000" w:themeColor="text1"/>
        </w:rPr>
        <w:t>sample</w:t>
      </w:r>
    </w:p>
    <w:p w14:paraId="65AF0B8C" w14:textId="5AD74D94" w:rsidR="005019B4" w:rsidRPr="00B9677D" w:rsidRDefault="002E210E" w:rsidP="009E0BE1">
      <w:p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The </w:t>
      </w:r>
      <w:r w:rsidR="009E11A3">
        <w:rPr>
          <w:color w:val="000000" w:themeColor="text1"/>
        </w:rPr>
        <w:t>FLC</w:t>
      </w:r>
      <w:r>
        <w:rPr>
          <w:color w:val="000000" w:themeColor="text1"/>
        </w:rPr>
        <w:t xml:space="preserve"> shall select a</w:t>
      </w:r>
      <w:r w:rsidR="009E11A3">
        <w:rPr>
          <w:color w:val="000000" w:themeColor="text1"/>
        </w:rPr>
        <w:t>n</w:t>
      </w:r>
      <w:r w:rsidR="007E2F7B">
        <w:rPr>
          <w:color w:val="000000" w:themeColor="text1"/>
        </w:rPr>
        <w:t xml:space="preserve"> extended</w:t>
      </w:r>
      <w:r w:rsidR="009E11A3">
        <w:rPr>
          <w:color w:val="000000" w:themeColor="text1"/>
        </w:rPr>
        <w:t xml:space="preserve"> </w:t>
      </w:r>
      <w:r>
        <w:rPr>
          <w:color w:val="000000" w:themeColor="text1"/>
        </w:rPr>
        <w:t>sample:</w:t>
      </w:r>
    </w:p>
    <w:p w14:paraId="0A02824B" w14:textId="7C8E62F2" w:rsidR="00A56049" w:rsidRPr="00B9677D" w:rsidRDefault="00A56049" w:rsidP="00E54A2D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The </w:t>
      </w:r>
      <w:r w:rsidR="00BB2A03">
        <w:rPr>
          <w:color w:val="000000" w:themeColor="text1"/>
        </w:rPr>
        <w:t>FLC</w:t>
      </w:r>
      <w:r>
        <w:rPr>
          <w:color w:val="000000" w:themeColor="text1"/>
        </w:rPr>
        <w:t xml:space="preserve"> analyses the selected basic sample in order to assess whether the selected sample of expenditure will allow for</w:t>
      </w:r>
      <w:r w:rsidR="008C65A7">
        <w:rPr>
          <w:color w:val="000000" w:themeColor="text1"/>
        </w:rPr>
        <w:t xml:space="preserve"> </w:t>
      </w:r>
      <w:r>
        <w:rPr>
          <w:color w:val="000000" w:themeColor="text1"/>
        </w:rPr>
        <w:t>reasonable assurance that the remaining expenditure</w:t>
      </w:r>
      <w:r w:rsidR="007E2F7B">
        <w:rPr>
          <w:color w:val="000000" w:themeColor="text1"/>
        </w:rPr>
        <w:t>s</w:t>
      </w:r>
      <w:r>
        <w:rPr>
          <w:color w:val="000000" w:themeColor="text1"/>
        </w:rPr>
        <w:t xml:space="preserve"> included in the request for payment </w:t>
      </w:r>
      <w:r w:rsidR="007E2F7B">
        <w:rPr>
          <w:color w:val="000000" w:themeColor="text1"/>
        </w:rPr>
        <w:t>are</w:t>
      </w:r>
      <w:r>
        <w:rPr>
          <w:color w:val="000000" w:themeColor="text1"/>
        </w:rPr>
        <w:t xml:space="preserve"> free from deficiencies or irregularities. Reasonable assurance means assurance sufficient to conclude, on the basis of the sample tested, that the expenditure is free from deficiencies or irregularities; reasonable assurance does not mean absolute certainty. </w:t>
      </w:r>
    </w:p>
    <w:p w14:paraId="376F2786" w14:textId="7D76DB7E" w:rsidR="007A712E" w:rsidRPr="00B9677D" w:rsidRDefault="00662FB7" w:rsidP="00E54A2D">
      <w:pPr>
        <w:numPr>
          <w:ilvl w:val="0"/>
          <w:numId w:val="28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The identification in the </w:t>
      </w:r>
      <w:r w:rsidR="00560EA1">
        <w:rPr>
          <w:color w:val="000000" w:themeColor="text1"/>
        </w:rPr>
        <w:t xml:space="preserve">basic </w:t>
      </w:r>
      <w:r>
        <w:rPr>
          <w:color w:val="000000" w:themeColor="text1"/>
        </w:rPr>
        <w:t>sample of deficiencies or irregularities likely to affect the assessment of the correctness and eligibility of the remaining expenditure</w:t>
      </w:r>
      <w:r w:rsidR="00560EA1">
        <w:rPr>
          <w:color w:val="000000" w:themeColor="text1"/>
        </w:rPr>
        <w:t>s</w:t>
      </w:r>
      <w:r>
        <w:rPr>
          <w:color w:val="000000" w:themeColor="text1"/>
        </w:rPr>
        <w:t xml:space="preserve"> in the </w:t>
      </w:r>
      <w:r w:rsidR="00560EA1">
        <w:rPr>
          <w:color w:val="000000" w:themeColor="text1"/>
        </w:rPr>
        <w:t xml:space="preserve">request for payment </w:t>
      </w:r>
      <w:r>
        <w:rPr>
          <w:color w:val="000000" w:themeColor="text1"/>
        </w:rPr>
        <w:t>shall result in extending of the sample.</w:t>
      </w:r>
    </w:p>
    <w:p w14:paraId="1BEEC544" w14:textId="54E69E54" w:rsidR="007A712E" w:rsidRPr="00B9677D" w:rsidRDefault="007A712E" w:rsidP="00E54A2D">
      <w:pPr>
        <w:numPr>
          <w:ilvl w:val="0"/>
          <w:numId w:val="28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The </w:t>
      </w:r>
      <w:r w:rsidR="00BB2A03">
        <w:rPr>
          <w:color w:val="000000" w:themeColor="text1"/>
        </w:rPr>
        <w:t>FLC</w:t>
      </w:r>
      <w:r>
        <w:rPr>
          <w:color w:val="000000" w:themeColor="text1"/>
        </w:rPr>
        <w:t xml:space="preserve"> decides on the selection and size of the </w:t>
      </w:r>
      <w:r w:rsidR="00560EA1">
        <w:rPr>
          <w:color w:val="000000" w:themeColor="text1"/>
        </w:rPr>
        <w:t xml:space="preserve">extended </w:t>
      </w:r>
      <w:r>
        <w:rPr>
          <w:color w:val="000000" w:themeColor="text1"/>
        </w:rPr>
        <w:t>sample based on its professional judgement.</w:t>
      </w:r>
    </w:p>
    <w:p w14:paraId="1FB17AFC" w14:textId="0AC6AF2B" w:rsidR="00417BCC" w:rsidRPr="00B9677D" w:rsidRDefault="00417BCC" w:rsidP="00E54A2D">
      <w:pPr>
        <w:numPr>
          <w:ilvl w:val="0"/>
          <w:numId w:val="28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lastRenderedPageBreak/>
        <w:t xml:space="preserve">The </w:t>
      </w:r>
      <w:r w:rsidR="00BB2A03">
        <w:rPr>
          <w:color w:val="000000" w:themeColor="text1"/>
        </w:rPr>
        <w:t>FLC</w:t>
      </w:r>
      <w:r>
        <w:rPr>
          <w:color w:val="000000" w:themeColor="text1"/>
        </w:rPr>
        <w:t xml:space="preserve"> can </w:t>
      </w:r>
      <w:r w:rsidR="00560EA1">
        <w:rPr>
          <w:color w:val="000000" w:themeColor="text1"/>
        </w:rPr>
        <w:t xml:space="preserve">extend </w:t>
      </w:r>
      <w:r>
        <w:rPr>
          <w:color w:val="000000" w:themeColor="text1"/>
        </w:rPr>
        <w:t>the</w:t>
      </w:r>
      <w:r w:rsidR="00560EA1">
        <w:rPr>
          <w:color w:val="000000" w:themeColor="text1"/>
        </w:rPr>
        <w:t xml:space="preserve"> basic</w:t>
      </w:r>
      <w:r>
        <w:rPr>
          <w:color w:val="000000" w:themeColor="text1"/>
        </w:rPr>
        <w:t xml:space="preserve"> sample using random schemes (e.g. systematic</w:t>
      </w:r>
      <w:r w:rsidRPr="00B9677D">
        <w:rPr>
          <w:rStyle w:val="Odwoanieprzypisudolnego"/>
          <w:rFonts w:cstheme="minorHAnsi"/>
          <w:color w:val="000000" w:themeColor="text1"/>
        </w:rPr>
        <w:footnoteReference w:id="11"/>
      </w:r>
      <w:r>
        <w:rPr>
          <w:color w:val="000000" w:themeColor="text1"/>
        </w:rPr>
        <w:t>, stratified</w:t>
      </w:r>
      <w:r w:rsidRPr="00B9677D">
        <w:rPr>
          <w:rStyle w:val="Odwoanieprzypisudolnego"/>
          <w:rFonts w:cstheme="minorHAnsi"/>
          <w:color w:val="000000" w:themeColor="text1"/>
        </w:rPr>
        <w:footnoteReference w:id="12"/>
      </w:r>
      <w:r>
        <w:rPr>
          <w:color w:val="000000" w:themeColor="text1"/>
        </w:rPr>
        <w:t>) or perform the so-called haphazard selection for the cost category in which the NC has identified infringements or a risk of infringements.</w:t>
      </w:r>
    </w:p>
    <w:p w14:paraId="1E218F1F" w14:textId="22053185" w:rsidR="007A712E" w:rsidRPr="00B9677D" w:rsidRDefault="007A712E" w:rsidP="00E54A2D">
      <w:pPr>
        <w:numPr>
          <w:ilvl w:val="0"/>
          <w:numId w:val="28"/>
        </w:num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In specific cases, the </w:t>
      </w:r>
      <w:r w:rsidR="00BB2A03">
        <w:rPr>
          <w:color w:val="000000" w:themeColor="text1"/>
        </w:rPr>
        <w:t>FLC</w:t>
      </w:r>
      <w:r>
        <w:rPr>
          <w:color w:val="000000" w:themeColor="text1"/>
        </w:rPr>
        <w:t xml:space="preserve"> may extend the sample to 100% of the expenditure in a given cost category. The NC justifies the 100% verification as the aforementioned verification should be treated as an exception and the NC conducts it if </w:t>
      </w:r>
      <w:r w:rsidR="00560EA1">
        <w:rPr>
          <w:color w:val="000000" w:themeColor="text1"/>
        </w:rPr>
        <w:t>the NC</w:t>
      </w:r>
      <w:r>
        <w:rPr>
          <w:color w:val="000000" w:themeColor="text1"/>
        </w:rPr>
        <w:t xml:space="preserve"> identifies </w:t>
      </w:r>
      <w:r w:rsidR="00560EA1">
        <w:rPr>
          <w:color w:val="000000" w:themeColor="text1"/>
        </w:rPr>
        <w:t xml:space="preserve">fraud </w:t>
      </w:r>
      <w:r>
        <w:rPr>
          <w:color w:val="000000" w:themeColor="text1"/>
        </w:rPr>
        <w:t>or a high risk of irregularities and/or fraud in the remaining expenditure</w:t>
      </w:r>
      <w:r w:rsidR="00560EA1">
        <w:rPr>
          <w:color w:val="000000" w:themeColor="text1"/>
        </w:rPr>
        <w:t>s</w:t>
      </w:r>
      <w:r>
        <w:rPr>
          <w:color w:val="000000" w:themeColor="text1"/>
        </w:rPr>
        <w:t>.</w:t>
      </w:r>
    </w:p>
    <w:p w14:paraId="4B225B91" w14:textId="001FB8A6" w:rsidR="009E0BE1" w:rsidRPr="00B9677D" w:rsidRDefault="009E0BE1" w:rsidP="009E0BE1">
      <w:pPr>
        <w:spacing w:after="0" w:line="360" w:lineRule="auto"/>
        <w:jc w:val="both"/>
        <w:rPr>
          <w:rFonts w:cstheme="minorHAnsi"/>
          <w:color w:val="000000" w:themeColor="text1"/>
        </w:rPr>
      </w:pPr>
    </w:p>
    <w:p w14:paraId="56C80EB0" w14:textId="3C49906F" w:rsidR="009E0BE1" w:rsidRPr="00B9677D" w:rsidRDefault="009E0BE1" w:rsidP="009E0BE1">
      <w:pPr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The sample selection is described and archived in the administrative verification file on a case-by-case basis. The sample of expenditure (basic and </w:t>
      </w:r>
      <w:r w:rsidR="00560EA1">
        <w:rPr>
          <w:color w:val="000000" w:themeColor="text1"/>
        </w:rPr>
        <w:t>extended</w:t>
      </w:r>
      <w:r>
        <w:rPr>
          <w:color w:val="000000" w:themeColor="text1"/>
        </w:rPr>
        <w:t>) is described in the checklist for verification of the request for payment.</w:t>
      </w:r>
    </w:p>
    <w:p w14:paraId="55A03666" w14:textId="77777777" w:rsidR="003455F9" w:rsidRPr="003B22AD" w:rsidRDefault="003455F9" w:rsidP="003455F9">
      <w:pPr>
        <w:spacing w:after="0" w:line="360" w:lineRule="auto"/>
        <w:rPr>
          <w:rFonts w:cstheme="minorHAnsi"/>
          <w:b/>
          <w:bCs/>
          <w:color w:val="000000" w:themeColor="text1"/>
        </w:rPr>
      </w:pPr>
    </w:p>
    <w:sectPr w:rsidR="003455F9" w:rsidRPr="003B22A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1D168" w14:textId="77777777" w:rsidR="00F658DB" w:rsidRDefault="00F658DB" w:rsidP="00A56049">
      <w:pPr>
        <w:spacing w:after="0" w:line="240" w:lineRule="auto"/>
      </w:pPr>
      <w:r>
        <w:separator/>
      </w:r>
    </w:p>
  </w:endnote>
  <w:endnote w:type="continuationSeparator" w:id="0">
    <w:p w14:paraId="53B7770D" w14:textId="77777777" w:rsidR="00F658DB" w:rsidRDefault="00F658DB" w:rsidP="00A56049">
      <w:pPr>
        <w:spacing w:after="0" w:line="240" w:lineRule="auto"/>
      </w:pPr>
      <w:r>
        <w:continuationSeparator/>
      </w:r>
    </w:p>
  </w:endnote>
  <w:endnote w:type="continuationNotice" w:id="1">
    <w:p w14:paraId="191F2C13" w14:textId="77777777" w:rsidR="00F658DB" w:rsidRDefault="00F658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645109"/>
      <w:docPartObj>
        <w:docPartGallery w:val="Page Numbers (Bottom of Page)"/>
        <w:docPartUnique/>
      </w:docPartObj>
    </w:sdtPr>
    <w:sdtEndPr/>
    <w:sdtContent>
      <w:p w14:paraId="43868A45" w14:textId="24F12CA9" w:rsidR="00F9100B" w:rsidRDefault="00F910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B82">
          <w:rPr>
            <w:noProof/>
          </w:rPr>
          <w:t>4</w:t>
        </w:r>
        <w:r>
          <w:fldChar w:fldCharType="end"/>
        </w:r>
      </w:p>
    </w:sdtContent>
  </w:sdt>
  <w:p w14:paraId="14A90FF1" w14:textId="77777777" w:rsidR="00F9100B" w:rsidRDefault="00F9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124DA" w14:textId="77777777" w:rsidR="00F658DB" w:rsidRDefault="00F658DB" w:rsidP="00A56049">
      <w:pPr>
        <w:spacing w:after="0" w:line="240" w:lineRule="auto"/>
      </w:pPr>
      <w:r>
        <w:separator/>
      </w:r>
    </w:p>
  </w:footnote>
  <w:footnote w:type="continuationSeparator" w:id="0">
    <w:p w14:paraId="2DB54ED5" w14:textId="77777777" w:rsidR="00F658DB" w:rsidRDefault="00F658DB" w:rsidP="00A56049">
      <w:pPr>
        <w:spacing w:after="0" w:line="240" w:lineRule="auto"/>
      </w:pPr>
      <w:r>
        <w:continuationSeparator/>
      </w:r>
    </w:p>
  </w:footnote>
  <w:footnote w:type="continuationNotice" w:id="1">
    <w:p w14:paraId="0CBE2518" w14:textId="77777777" w:rsidR="00F658DB" w:rsidRDefault="00F658DB">
      <w:pPr>
        <w:spacing w:after="0" w:line="240" w:lineRule="auto"/>
      </w:pPr>
    </w:p>
  </w:footnote>
  <w:footnote w:id="2">
    <w:p w14:paraId="1EBA3D24" w14:textId="116F5967" w:rsidR="00536CBF" w:rsidRPr="00A3045E" w:rsidRDefault="00536CBF" w:rsidP="00536CB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/>
          <w:sz w:val="18"/>
        </w:rPr>
        <w:t xml:space="preserve"> Risk based management verifications Article 74(2) CPR 2021-2027</w:t>
      </w:r>
    </w:p>
  </w:footnote>
  <w:footnote w:id="3">
    <w:p w14:paraId="05B8FD60" w14:textId="6C818670" w:rsidR="00A56049" w:rsidRPr="00A3045E" w:rsidRDefault="00A56049" w:rsidP="003F2E17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/>
          <w:sz w:val="18"/>
        </w:rPr>
        <w:t xml:space="preserve"> Refers to expenditure included in the </w:t>
      </w:r>
      <w:r w:rsidR="00B9172A">
        <w:rPr>
          <w:rFonts w:asciiTheme="minorHAnsi" w:hAnsiTheme="minorHAnsi"/>
          <w:sz w:val="18"/>
        </w:rPr>
        <w:t>r</w:t>
      </w:r>
      <w:r>
        <w:rPr>
          <w:rFonts w:asciiTheme="minorHAnsi" w:hAnsiTheme="minorHAnsi"/>
          <w:sz w:val="18"/>
        </w:rPr>
        <w:t xml:space="preserve">equest for </w:t>
      </w:r>
      <w:r w:rsidR="00B9172A">
        <w:rPr>
          <w:rFonts w:asciiTheme="minorHAnsi" w:hAnsiTheme="minorHAnsi"/>
          <w:sz w:val="18"/>
        </w:rPr>
        <w:t>p</w:t>
      </w:r>
      <w:r>
        <w:rPr>
          <w:rFonts w:asciiTheme="minorHAnsi" w:hAnsiTheme="minorHAnsi"/>
          <w:sz w:val="18"/>
        </w:rPr>
        <w:t xml:space="preserve">ayment without taking account the expenditure subject to simplified </w:t>
      </w:r>
      <w:r w:rsidR="00B9172A">
        <w:rPr>
          <w:rFonts w:asciiTheme="minorHAnsi" w:hAnsiTheme="minorHAnsi"/>
          <w:sz w:val="18"/>
        </w:rPr>
        <w:t>cost options</w:t>
      </w:r>
      <w:r>
        <w:rPr>
          <w:rFonts w:asciiTheme="minorHAnsi" w:hAnsiTheme="minorHAnsi"/>
          <w:sz w:val="18"/>
        </w:rPr>
        <w:t xml:space="preserve">. With regard to expenditure accounted </w:t>
      </w:r>
      <w:r w:rsidR="00B9172A">
        <w:rPr>
          <w:rFonts w:asciiTheme="minorHAnsi" w:hAnsiTheme="minorHAnsi"/>
          <w:sz w:val="18"/>
        </w:rPr>
        <w:t>as simplified cost options</w:t>
      </w:r>
      <w:r>
        <w:rPr>
          <w:rFonts w:asciiTheme="minorHAnsi" w:hAnsiTheme="minorHAnsi"/>
          <w:sz w:val="18"/>
        </w:rPr>
        <w:t>, the NC shall follow the requirements set out in paragraph 4(a)-(c).</w:t>
      </w:r>
    </w:p>
  </w:footnote>
  <w:footnote w:id="4">
    <w:p w14:paraId="473BCDD4" w14:textId="400F6821" w:rsidR="003843A6" w:rsidRPr="00A3045E" w:rsidRDefault="003843A6" w:rsidP="003843A6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/>
          <w:sz w:val="18"/>
        </w:rPr>
        <w:t xml:space="preserve"> Where a </w:t>
      </w:r>
      <w:r w:rsidR="00B9172A">
        <w:rPr>
          <w:rFonts w:asciiTheme="minorHAnsi" w:hAnsiTheme="minorHAnsi"/>
          <w:sz w:val="18"/>
        </w:rPr>
        <w:t xml:space="preserve">list of expenditures </w:t>
      </w:r>
      <w:r>
        <w:rPr>
          <w:rFonts w:asciiTheme="minorHAnsi" w:hAnsiTheme="minorHAnsi"/>
          <w:sz w:val="18"/>
        </w:rPr>
        <w:t>covers less than 2 expenditures, documents relating to all expenditure</w:t>
      </w:r>
      <w:r w:rsidR="0086708E">
        <w:rPr>
          <w:rFonts w:asciiTheme="minorHAnsi" w:hAnsiTheme="minorHAnsi"/>
          <w:sz w:val="18"/>
        </w:rPr>
        <w:t>s</w:t>
      </w:r>
      <w:r>
        <w:rPr>
          <w:rFonts w:asciiTheme="minorHAnsi" w:hAnsiTheme="minorHAnsi"/>
          <w:sz w:val="18"/>
        </w:rPr>
        <w:t xml:space="preserve"> are checked.</w:t>
      </w:r>
    </w:p>
  </w:footnote>
  <w:footnote w:id="5">
    <w:p w14:paraId="3DE6D468" w14:textId="728E5301" w:rsidR="009E11A3" w:rsidRPr="00BB2A03" w:rsidRDefault="009E11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61A7">
        <w:rPr>
          <w:rFonts w:asciiTheme="minorHAnsi" w:hAnsiTheme="minorHAnsi"/>
          <w:sz w:val="18"/>
        </w:rPr>
        <w:t xml:space="preserve">For </w:t>
      </w:r>
      <w:r>
        <w:rPr>
          <w:rFonts w:asciiTheme="minorHAnsi" w:hAnsiTheme="minorHAnsi"/>
          <w:sz w:val="18"/>
        </w:rPr>
        <w:t>P</w:t>
      </w:r>
      <w:r w:rsidRPr="00B061A7">
        <w:rPr>
          <w:rFonts w:asciiTheme="minorHAnsi" w:hAnsiTheme="minorHAnsi"/>
          <w:sz w:val="18"/>
        </w:rPr>
        <w:t xml:space="preserve">olish </w:t>
      </w:r>
      <w:r>
        <w:rPr>
          <w:rFonts w:asciiTheme="minorHAnsi" w:hAnsiTheme="minorHAnsi"/>
          <w:sz w:val="18"/>
        </w:rPr>
        <w:t>FLCs</w:t>
      </w:r>
      <w:r w:rsidRPr="00B061A7">
        <w:rPr>
          <w:rFonts w:asciiTheme="minorHAnsi" w:hAnsiTheme="minorHAnsi"/>
          <w:sz w:val="18"/>
        </w:rPr>
        <w:t>: particularly concerning corresponding cases as collected by the FLC in Annexes 18</w:t>
      </w:r>
      <w:r w:rsidRPr="00B061A7">
        <w:rPr>
          <w:rFonts w:asciiTheme="minorHAnsi" w:hAnsiTheme="minorHAnsi"/>
          <w:sz w:val="18"/>
        </w:rPr>
        <w:footnoteRef/>
      </w:r>
      <w:r w:rsidRPr="00B061A7">
        <w:rPr>
          <w:rFonts w:asciiTheme="minorHAnsi" w:hAnsiTheme="minorHAnsi"/>
          <w:sz w:val="18"/>
        </w:rPr>
        <w:t xml:space="preserve"> and 19</w:t>
      </w:r>
      <w:r w:rsidRPr="00B061A7">
        <w:rPr>
          <w:rFonts w:asciiTheme="minorHAnsi" w:hAnsiTheme="minorHAnsi"/>
          <w:sz w:val="18"/>
        </w:rPr>
        <w:footnoteRef/>
      </w:r>
      <w:r w:rsidRPr="00B061A7">
        <w:rPr>
          <w:rFonts w:asciiTheme="minorHAnsi" w:hAnsiTheme="minorHAnsi"/>
          <w:sz w:val="18"/>
        </w:rPr>
        <w:t xml:space="preserve"> to the Guidelines</w:t>
      </w:r>
      <w:r>
        <w:rPr>
          <w:rFonts w:asciiTheme="minorHAnsi" w:hAnsiTheme="minorHAnsi"/>
          <w:sz w:val="18"/>
        </w:rPr>
        <w:t>.</w:t>
      </w:r>
    </w:p>
  </w:footnote>
  <w:footnote w:id="6">
    <w:p w14:paraId="77D9990B" w14:textId="113A7ABD" w:rsidR="009E11A3" w:rsidRPr="00BB2A03" w:rsidRDefault="009E11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61A7">
        <w:rPr>
          <w:rFonts w:asciiTheme="minorHAnsi" w:hAnsiTheme="minorHAnsi"/>
          <w:sz w:val="18"/>
        </w:rPr>
        <w:t>Only for Polish FLCs.</w:t>
      </w:r>
    </w:p>
  </w:footnote>
  <w:footnote w:id="7">
    <w:p w14:paraId="029AA1E0" w14:textId="1084A841" w:rsidR="00467298" w:rsidRPr="000237AA" w:rsidRDefault="00467298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/>
          <w:sz w:val="18"/>
        </w:rPr>
        <w:t xml:space="preserve"> Where unit </w:t>
      </w:r>
      <w:r w:rsidR="002E7842">
        <w:rPr>
          <w:rFonts w:asciiTheme="minorHAnsi" w:hAnsiTheme="minorHAnsi"/>
          <w:sz w:val="18"/>
        </w:rPr>
        <w:t xml:space="preserve">costs </w:t>
      </w:r>
      <w:r>
        <w:rPr>
          <w:rFonts w:asciiTheme="minorHAnsi" w:hAnsiTheme="minorHAnsi"/>
          <w:sz w:val="18"/>
        </w:rPr>
        <w:t xml:space="preserve">are applied for personnel </w:t>
      </w:r>
      <w:r w:rsidR="002E7842">
        <w:rPr>
          <w:rFonts w:asciiTheme="minorHAnsi" w:hAnsiTheme="minorHAnsi"/>
          <w:sz w:val="18"/>
        </w:rPr>
        <w:t>budget line</w:t>
      </w:r>
      <w:r>
        <w:rPr>
          <w:rFonts w:asciiTheme="minorHAnsi" w:hAnsiTheme="minorHAnsi"/>
          <w:sz w:val="18"/>
        </w:rPr>
        <w:t xml:space="preserve">, the </w:t>
      </w:r>
      <w:r w:rsidR="00BB2A03">
        <w:rPr>
          <w:rFonts w:asciiTheme="minorHAnsi" w:hAnsiTheme="minorHAnsi"/>
          <w:sz w:val="18"/>
        </w:rPr>
        <w:t>FLC</w:t>
      </w:r>
      <w:r>
        <w:rPr>
          <w:rFonts w:asciiTheme="minorHAnsi" w:hAnsiTheme="minorHAnsi"/>
          <w:sz w:val="18"/>
        </w:rPr>
        <w:t xml:space="preserve"> selects three items from the </w:t>
      </w:r>
      <w:r w:rsidR="002E7842">
        <w:rPr>
          <w:rFonts w:asciiTheme="minorHAnsi" w:hAnsiTheme="minorHAnsi"/>
          <w:sz w:val="18"/>
        </w:rPr>
        <w:t xml:space="preserve">list </w:t>
      </w:r>
      <w:r>
        <w:rPr>
          <w:rFonts w:asciiTheme="minorHAnsi" w:hAnsiTheme="minorHAnsi"/>
          <w:sz w:val="18"/>
        </w:rPr>
        <w:t>of expenditure for verification</w:t>
      </w:r>
      <w:r w:rsidR="002E7842">
        <w:rPr>
          <w:rFonts w:asciiTheme="minorHAnsi" w:hAnsiTheme="minorHAnsi"/>
          <w:sz w:val="18"/>
        </w:rPr>
        <w:t>, taking into account that they must refer</w:t>
      </w:r>
      <w:r>
        <w:rPr>
          <w:rFonts w:asciiTheme="minorHAnsi" w:hAnsiTheme="minorHAnsi"/>
          <w:sz w:val="18"/>
        </w:rPr>
        <w:t xml:space="preserve"> to three different employees. </w:t>
      </w:r>
    </w:p>
  </w:footnote>
  <w:footnote w:id="8">
    <w:p w14:paraId="61D26B77" w14:textId="454E61BA" w:rsidR="009E11A3" w:rsidRPr="00BB2A03" w:rsidRDefault="009E11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99E">
        <w:rPr>
          <w:rFonts w:asciiTheme="minorHAnsi" w:hAnsiTheme="minorHAnsi"/>
          <w:sz w:val="18"/>
        </w:rPr>
        <w:t>Only for Polish FLCs.</w:t>
      </w:r>
    </w:p>
  </w:footnote>
  <w:footnote w:id="9">
    <w:p w14:paraId="6EDB9E44" w14:textId="47A433F2" w:rsidR="00E55193" w:rsidRPr="004C7906" w:rsidRDefault="00E5519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/>
          <w:sz w:val="18"/>
        </w:rPr>
        <w:t xml:space="preserve"> NOTE: The </w:t>
      </w:r>
      <w:r w:rsidR="00BB2A03">
        <w:rPr>
          <w:rFonts w:asciiTheme="minorHAnsi" w:hAnsiTheme="minorHAnsi"/>
          <w:sz w:val="18"/>
        </w:rPr>
        <w:t>FLC</w:t>
      </w:r>
      <w:r>
        <w:rPr>
          <w:rFonts w:asciiTheme="minorHAnsi" w:hAnsiTheme="minorHAnsi"/>
          <w:sz w:val="18"/>
        </w:rPr>
        <w:t xml:space="preserve"> is required to verify all invoices relating to </w:t>
      </w:r>
      <w:r w:rsidR="00982E6D">
        <w:rPr>
          <w:rFonts w:asciiTheme="minorHAnsi" w:hAnsiTheme="minorHAnsi"/>
          <w:sz w:val="18"/>
        </w:rPr>
        <w:t xml:space="preserve">public procurement on which a </w:t>
      </w:r>
      <w:proofErr w:type="spellStart"/>
      <w:r>
        <w:rPr>
          <w:rFonts w:asciiTheme="minorHAnsi" w:hAnsiTheme="minorHAnsi"/>
          <w:sz w:val="18"/>
        </w:rPr>
        <w:t>a</w:t>
      </w:r>
      <w:proofErr w:type="spellEnd"/>
      <w:r>
        <w:rPr>
          <w:rFonts w:asciiTheme="minorHAnsi" w:hAnsiTheme="minorHAnsi"/>
          <w:sz w:val="18"/>
        </w:rPr>
        <w:t xml:space="preserve"> financial correction</w:t>
      </w:r>
      <w:r w:rsidR="00982E6D">
        <w:rPr>
          <w:rFonts w:asciiTheme="minorHAnsi" w:hAnsiTheme="minorHAnsi"/>
          <w:sz w:val="18"/>
        </w:rPr>
        <w:t xml:space="preserve"> was imposed, </w:t>
      </w:r>
      <w:r>
        <w:rPr>
          <w:rFonts w:asciiTheme="minorHAnsi" w:hAnsiTheme="minorHAnsi"/>
          <w:sz w:val="18"/>
        </w:rPr>
        <w:t xml:space="preserve"> to check whether the</w:t>
      </w:r>
      <w:r w:rsidR="00982E6D">
        <w:rPr>
          <w:rFonts w:asciiTheme="minorHAnsi" w:hAnsiTheme="minorHAnsi"/>
          <w:sz w:val="18"/>
        </w:rPr>
        <w:t xml:space="preserve"> expenditures </w:t>
      </w:r>
      <w:r>
        <w:rPr>
          <w:rFonts w:asciiTheme="minorHAnsi" w:hAnsiTheme="minorHAnsi"/>
          <w:sz w:val="18"/>
        </w:rPr>
        <w:t>have been reduced by the amount of the correction by the beneficiary.</w:t>
      </w:r>
      <w:r w:rsidR="008C65A7">
        <w:rPr>
          <w:rFonts w:asciiTheme="minorHAnsi" w:hAnsiTheme="minorHAnsi"/>
          <w:sz w:val="18"/>
        </w:rPr>
        <w:t xml:space="preserve"> </w:t>
      </w:r>
    </w:p>
  </w:footnote>
  <w:footnote w:id="10">
    <w:p w14:paraId="2D1A1FFE" w14:textId="3606A8AF" w:rsidR="009E11A3" w:rsidRPr="00BB2A03" w:rsidRDefault="009E11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99E">
        <w:rPr>
          <w:rFonts w:asciiTheme="minorHAnsi" w:hAnsiTheme="minorHAnsi"/>
          <w:sz w:val="18"/>
        </w:rPr>
        <w:t>Only for Polish FLCs.</w:t>
      </w:r>
    </w:p>
  </w:footnote>
  <w:footnote w:id="11">
    <w:p w14:paraId="5A403491" w14:textId="01699519" w:rsidR="00417BCC" w:rsidRPr="00901B24" w:rsidRDefault="00417BCC" w:rsidP="00417BCC">
      <w:pPr>
        <w:pStyle w:val="Tekstprzypisudolnego"/>
        <w:spacing w:before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/>
          <w:sz w:val="18"/>
        </w:rPr>
        <w:t xml:space="preserve"> Among the first items in the </w:t>
      </w:r>
      <w:r w:rsidR="00560EA1">
        <w:rPr>
          <w:rFonts w:asciiTheme="minorHAnsi" w:hAnsiTheme="minorHAnsi"/>
          <w:sz w:val="18"/>
        </w:rPr>
        <w:t xml:space="preserve">list </w:t>
      </w:r>
      <w:r>
        <w:rPr>
          <w:rFonts w:asciiTheme="minorHAnsi" w:hAnsiTheme="minorHAnsi"/>
          <w:sz w:val="18"/>
        </w:rPr>
        <w:t>of expenditure</w:t>
      </w:r>
      <w:r w:rsidR="00560EA1">
        <w:rPr>
          <w:rFonts w:asciiTheme="minorHAnsi" w:hAnsiTheme="minorHAnsi"/>
          <w:sz w:val="18"/>
        </w:rPr>
        <w:t>s</w:t>
      </w:r>
      <w:r>
        <w:rPr>
          <w:rFonts w:asciiTheme="minorHAnsi" w:hAnsiTheme="minorHAnsi"/>
          <w:sz w:val="18"/>
        </w:rPr>
        <w:t xml:space="preserve">, one item is drawn at random and then those items that are multiples of the </w:t>
      </w:r>
      <w:r>
        <w:rPr>
          <w:rFonts w:asciiTheme="minorHAnsi" w:hAnsiTheme="minorHAnsi"/>
          <w:i/>
          <w:iCs/>
          <w:sz w:val="18"/>
        </w:rPr>
        <w:t>n</w:t>
      </w:r>
      <w:r>
        <w:rPr>
          <w:rFonts w:asciiTheme="minorHAnsi" w:hAnsiTheme="minorHAnsi"/>
          <w:sz w:val="18"/>
        </w:rPr>
        <w:t xml:space="preserve"> number are selected for verification.</w:t>
      </w:r>
    </w:p>
  </w:footnote>
  <w:footnote w:id="12">
    <w:p w14:paraId="6C2D8301" w14:textId="77777777" w:rsidR="00417BCC" w:rsidRPr="00931492" w:rsidRDefault="00417BCC" w:rsidP="00417BCC">
      <w:pPr>
        <w:pStyle w:val="Tekstprzypisudolnego"/>
        <w:spacing w:before="0" w:line="240" w:lineRule="auto"/>
        <w:rPr>
          <w:rFonts w:ascii="Arial" w:hAnsi="Arial" w:cs="Arial"/>
          <w:sz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Style w:val="Odwoanieprzypisudolnego"/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 xml:space="preserve">The population is divided into layers, i.e. groups distinguished by a specific, well-defined characteristic (e.g. budget categories). The items to be sampled are then drawn separately from each layer.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AA9FD" w14:textId="7679BD3E" w:rsidR="004C3F19" w:rsidRDefault="004C3F19">
    <w:pPr>
      <w:pStyle w:val="Nagwek"/>
    </w:pPr>
    <w:r>
      <w:t xml:space="preserve">Annex </w:t>
    </w:r>
    <w:ins w:id="5" w:author="Autor">
      <w:r w:rsidR="00C21CB0">
        <w:t>6</w:t>
      </w:r>
    </w:ins>
    <w: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128"/>
    <w:multiLevelType w:val="hybridMultilevel"/>
    <w:tmpl w:val="B6820B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36A3"/>
    <w:multiLevelType w:val="hybridMultilevel"/>
    <w:tmpl w:val="2F52D698"/>
    <w:lvl w:ilvl="0" w:tplc="88048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6161F"/>
    <w:multiLevelType w:val="hybridMultilevel"/>
    <w:tmpl w:val="BB7282CE"/>
    <w:lvl w:ilvl="0" w:tplc="1D40AA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561390"/>
    <w:multiLevelType w:val="hybridMultilevel"/>
    <w:tmpl w:val="8A6A7F22"/>
    <w:lvl w:ilvl="0" w:tplc="8CF06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407BD8"/>
    <w:multiLevelType w:val="hybridMultilevel"/>
    <w:tmpl w:val="2E82AB8C"/>
    <w:lvl w:ilvl="0" w:tplc="8CF06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6255F9"/>
    <w:multiLevelType w:val="hybridMultilevel"/>
    <w:tmpl w:val="4DEE15F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0FCD52A0"/>
    <w:multiLevelType w:val="multilevel"/>
    <w:tmpl w:val="3B627E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04A2C0C"/>
    <w:multiLevelType w:val="hybridMultilevel"/>
    <w:tmpl w:val="A7FC1862"/>
    <w:lvl w:ilvl="0" w:tplc="8CF06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AB0738"/>
    <w:multiLevelType w:val="hybridMultilevel"/>
    <w:tmpl w:val="0232B08E"/>
    <w:lvl w:ilvl="0" w:tplc="E68E8466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D05EA1"/>
    <w:multiLevelType w:val="hybridMultilevel"/>
    <w:tmpl w:val="8A6A7F22"/>
    <w:lvl w:ilvl="0" w:tplc="8CF06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983C6C"/>
    <w:multiLevelType w:val="hybridMultilevel"/>
    <w:tmpl w:val="59F69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84B46"/>
    <w:multiLevelType w:val="hybridMultilevel"/>
    <w:tmpl w:val="D0B8A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C10A2"/>
    <w:multiLevelType w:val="hybridMultilevel"/>
    <w:tmpl w:val="B8981A0E"/>
    <w:lvl w:ilvl="0" w:tplc="1D40AA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F63880"/>
    <w:multiLevelType w:val="hybridMultilevel"/>
    <w:tmpl w:val="785E32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7C2792"/>
    <w:multiLevelType w:val="hybridMultilevel"/>
    <w:tmpl w:val="0B9E16E0"/>
    <w:lvl w:ilvl="0" w:tplc="DDD01D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744050"/>
    <w:multiLevelType w:val="hybridMultilevel"/>
    <w:tmpl w:val="946A5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1377E"/>
    <w:multiLevelType w:val="hybridMultilevel"/>
    <w:tmpl w:val="325C3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C1C7E"/>
    <w:multiLevelType w:val="hybridMultilevel"/>
    <w:tmpl w:val="200A7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E665A"/>
    <w:multiLevelType w:val="hybridMultilevel"/>
    <w:tmpl w:val="6E1C8AD8"/>
    <w:lvl w:ilvl="0" w:tplc="64C44A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4185568"/>
    <w:multiLevelType w:val="hybridMultilevel"/>
    <w:tmpl w:val="9FBCA0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84371"/>
    <w:multiLevelType w:val="hybridMultilevel"/>
    <w:tmpl w:val="358A665E"/>
    <w:lvl w:ilvl="0" w:tplc="78FCF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9B3CF9"/>
    <w:multiLevelType w:val="hybridMultilevel"/>
    <w:tmpl w:val="C5F6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95E52"/>
    <w:multiLevelType w:val="hybridMultilevel"/>
    <w:tmpl w:val="AE300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76BEC"/>
    <w:multiLevelType w:val="hybridMultilevel"/>
    <w:tmpl w:val="8D8C9D30"/>
    <w:lvl w:ilvl="0" w:tplc="B2223E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246C7"/>
    <w:multiLevelType w:val="hybridMultilevel"/>
    <w:tmpl w:val="7A0449F2"/>
    <w:lvl w:ilvl="0" w:tplc="8CF06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87029A"/>
    <w:multiLevelType w:val="hybridMultilevel"/>
    <w:tmpl w:val="C11831DA"/>
    <w:lvl w:ilvl="0" w:tplc="74C4E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B62E0"/>
    <w:multiLevelType w:val="hybridMultilevel"/>
    <w:tmpl w:val="E1CCD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229DB"/>
    <w:multiLevelType w:val="hybridMultilevel"/>
    <w:tmpl w:val="6BEEE316"/>
    <w:lvl w:ilvl="0" w:tplc="72081A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126C37"/>
    <w:multiLevelType w:val="multilevel"/>
    <w:tmpl w:val="CB4494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F61098D"/>
    <w:multiLevelType w:val="hybridMultilevel"/>
    <w:tmpl w:val="C11831DA"/>
    <w:lvl w:ilvl="0" w:tplc="74C4E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1"/>
  </w:num>
  <w:num w:numId="4">
    <w:abstractNumId w:val="17"/>
  </w:num>
  <w:num w:numId="5">
    <w:abstractNumId w:val="13"/>
  </w:num>
  <w:num w:numId="6">
    <w:abstractNumId w:val="12"/>
  </w:num>
  <w:num w:numId="7">
    <w:abstractNumId w:val="9"/>
  </w:num>
  <w:num w:numId="8">
    <w:abstractNumId w:val="20"/>
  </w:num>
  <w:num w:numId="9">
    <w:abstractNumId w:val="11"/>
  </w:num>
  <w:num w:numId="10">
    <w:abstractNumId w:val="22"/>
  </w:num>
  <w:num w:numId="11">
    <w:abstractNumId w:val="21"/>
  </w:num>
  <w:num w:numId="12">
    <w:abstractNumId w:val="16"/>
  </w:num>
  <w:num w:numId="13">
    <w:abstractNumId w:val="14"/>
  </w:num>
  <w:num w:numId="14">
    <w:abstractNumId w:val="8"/>
  </w:num>
  <w:num w:numId="15">
    <w:abstractNumId w:val="15"/>
  </w:num>
  <w:num w:numId="16">
    <w:abstractNumId w:val="4"/>
  </w:num>
  <w:num w:numId="17">
    <w:abstractNumId w:val="19"/>
  </w:num>
  <w:num w:numId="18">
    <w:abstractNumId w:val="26"/>
  </w:num>
  <w:num w:numId="19">
    <w:abstractNumId w:val="24"/>
  </w:num>
  <w:num w:numId="20">
    <w:abstractNumId w:val="25"/>
  </w:num>
  <w:num w:numId="21">
    <w:abstractNumId w:val="10"/>
  </w:num>
  <w:num w:numId="22">
    <w:abstractNumId w:val="7"/>
  </w:num>
  <w:num w:numId="23">
    <w:abstractNumId w:val="29"/>
  </w:num>
  <w:num w:numId="24">
    <w:abstractNumId w:val="3"/>
  </w:num>
  <w:num w:numId="25">
    <w:abstractNumId w:val="2"/>
  </w:num>
  <w:num w:numId="26">
    <w:abstractNumId w:val="5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0B"/>
    <w:rsid w:val="00005405"/>
    <w:rsid w:val="00006016"/>
    <w:rsid w:val="00006D89"/>
    <w:rsid w:val="00011956"/>
    <w:rsid w:val="000122D2"/>
    <w:rsid w:val="000125D4"/>
    <w:rsid w:val="00013132"/>
    <w:rsid w:val="000174BA"/>
    <w:rsid w:val="000237AA"/>
    <w:rsid w:val="000265FF"/>
    <w:rsid w:val="0003299B"/>
    <w:rsid w:val="00034575"/>
    <w:rsid w:val="00035A5C"/>
    <w:rsid w:val="00043B28"/>
    <w:rsid w:val="00045148"/>
    <w:rsid w:val="00050813"/>
    <w:rsid w:val="00051D0D"/>
    <w:rsid w:val="000527D3"/>
    <w:rsid w:val="00054ECC"/>
    <w:rsid w:val="000550B2"/>
    <w:rsid w:val="00061D85"/>
    <w:rsid w:val="00090086"/>
    <w:rsid w:val="000A59BC"/>
    <w:rsid w:val="000B18D4"/>
    <w:rsid w:val="000B3052"/>
    <w:rsid w:val="000B3322"/>
    <w:rsid w:val="000B5319"/>
    <w:rsid w:val="000C1D26"/>
    <w:rsid w:val="000C3885"/>
    <w:rsid w:val="000C48A0"/>
    <w:rsid w:val="000D2FAD"/>
    <w:rsid w:val="000D4374"/>
    <w:rsid w:val="000D6E0C"/>
    <w:rsid w:val="000E5C71"/>
    <w:rsid w:val="000E6CCE"/>
    <w:rsid w:val="000E7F64"/>
    <w:rsid w:val="000F23BF"/>
    <w:rsid w:val="000F23CE"/>
    <w:rsid w:val="001043F4"/>
    <w:rsid w:val="00105273"/>
    <w:rsid w:val="0010649C"/>
    <w:rsid w:val="001117F4"/>
    <w:rsid w:val="00112191"/>
    <w:rsid w:val="001306B0"/>
    <w:rsid w:val="00132EFE"/>
    <w:rsid w:val="00134047"/>
    <w:rsid w:val="0013585F"/>
    <w:rsid w:val="0013784A"/>
    <w:rsid w:val="00147020"/>
    <w:rsid w:val="00160CA8"/>
    <w:rsid w:val="00166C8B"/>
    <w:rsid w:val="001759F0"/>
    <w:rsid w:val="001776E6"/>
    <w:rsid w:val="00181A92"/>
    <w:rsid w:val="00184EE4"/>
    <w:rsid w:val="0018566B"/>
    <w:rsid w:val="00193ECC"/>
    <w:rsid w:val="00197BC9"/>
    <w:rsid w:val="001A3810"/>
    <w:rsid w:val="001A45C7"/>
    <w:rsid w:val="001B1750"/>
    <w:rsid w:val="001B19DB"/>
    <w:rsid w:val="001B6219"/>
    <w:rsid w:val="001C4273"/>
    <w:rsid w:val="001C78A2"/>
    <w:rsid w:val="001D12A4"/>
    <w:rsid w:val="001D7684"/>
    <w:rsid w:val="001E381E"/>
    <w:rsid w:val="001E7863"/>
    <w:rsid w:val="001F2AC0"/>
    <w:rsid w:val="001F542A"/>
    <w:rsid w:val="001F65DC"/>
    <w:rsid w:val="00200FF8"/>
    <w:rsid w:val="002020BE"/>
    <w:rsid w:val="00202E66"/>
    <w:rsid w:val="00203571"/>
    <w:rsid w:val="00210446"/>
    <w:rsid w:val="00213BC6"/>
    <w:rsid w:val="00214846"/>
    <w:rsid w:val="002236D1"/>
    <w:rsid w:val="00223AE2"/>
    <w:rsid w:val="00250E79"/>
    <w:rsid w:val="00254B4E"/>
    <w:rsid w:val="002566AA"/>
    <w:rsid w:val="00260A8D"/>
    <w:rsid w:val="00261FB7"/>
    <w:rsid w:val="00266FA4"/>
    <w:rsid w:val="002671A3"/>
    <w:rsid w:val="0027001E"/>
    <w:rsid w:val="002A0264"/>
    <w:rsid w:val="002C4B66"/>
    <w:rsid w:val="002C6FC4"/>
    <w:rsid w:val="002D5AB1"/>
    <w:rsid w:val="002E210E"/>
    <w:rsid w:val="002E255D"/>
    <w:rsid w:val="002E2E61"/>
    <w:rsid w:val="002E5842"/>
    <w:rsid w:val="002E7842"/>
    <w:rsid w:val="002F55B4"/>
    <w:rsid w:val="002F7D21"/>
    <w:rsid w:val="00300DFF"/>
    <w:rsid w:val="00301D29"/>
    <w:rsid w:val="00304234"/>
    <w:rsid w:val="003161DD"/>
    <w:rsid w:val="00327282"/>
    <w:rsid w:val="003319F8"/>
    <w:rsid w:val="00334DFF"/>
    <w:rsid w:val="00340CC2"/>
    <w:rsid w:val="00342566"/>
    <w:rsid w:val="00344B62"/>
    <w:rsid w:val="003455F9"/>
    <w:rsid w:val="00350527"/>
    <w:rsid w:val="00354F97"/>
    <w:rsid w:val="003552E0"/>
    <w:rsid w:val="00382EE6"/>
    <w:rsid w:val="00383996"/>
    <w:rsid w:val="003843A6"/>
    <w:rsid w:val="00392FCD"/>
    <w:rsid w:val="00395578"/>
    <w:rsid w:val="0039590C"/>
    <w:rsid w:val="00395CF9"/>
    <w:rsid w:val="003A4221"/>
    <w:rsid w:val="003A69EF"/>
    <w:rsid w:val="003A6E0E"/>
    <w:rsid w:val="003B1137"/>
    <w:rsid w:val="003B1995"/>
    <w:rsid w:val="003B22AD"/>
    <w:rsid w:val="003B4342"/>
    <w:rsid w:val="003C099F"/>
    <w:rsid w:val="003C368C"/>
    <w:rsid w:val="003D22F5"/>
    <w:rsid w:val="003D4555"/>
    <w:rsid w:val="003D58AF"/>
    <w:rsid w:val="003E4E0D"/>
    <w:rsid w:val="003F11FA"/>
    <w:rsid w:val="003F2E17"/>
    <w:rsid w:val="003F3667"/>
    <w:rsid w:val="003F6C16"/>
    <w:rsid w:val="00401E5E"/>
    <w:rsid w:val="00404814"/>
    <w:rsid w:val="00415807"/>
    <w:rsid w:val="00417BCC"/>
    <w:rsid w:val="00420C68"/>
    <w:rsid w:val="004309C5"/>
    <w:rsid w:val="00435729"/>
    <w:rsid w:val="004467F6"/>
    <w:rsid w:val="0044723E"/>
    <w:rsid w:val="00451AF3"/>
    <w:rsid w:val="0046013D"/>
    <w:rsid w:val="0046066B"/>
    <w:rsid w:val="00461266"/>
    <w:rsid w:val="00461CCC"/>
    <w:rsid w:val="00467298"/>
    <w:rsid w:val="00476F71"/>
    <w:rsid w:val="00480CF4"/>
    <w:rsid w:val="004A4AA6"/>
    <w:rsid w:val="004C0C9D"/>
    <w:rsid w:val="004C3F19"/>
    <w:rsid w:val="004C7906"/>
    <w:rsid w:val="004D0E71"/>
    <w:rsid w:val="004D3ABE"/>
    <w:rsid w:val="004D4C95"/>
    <w:rsid w:val="004D564C"/>
    <w:rsid w:val="004E0588"/>
    <w:rsid w:val="004E4865"/>
    <w:rsid w:val="004F0F96"/>
    <w:rsid w:val="004F2409"/>
    <w:rsid w:val="004F2EF0"/>
    <w:rsid w:val="004F3F46"/>
    <w:rsid w:val="00500A17"/>
    <w:rsid w:val="005019B4"/>
    <w:rsid w:val="00502B4C"/>
    <w:rsid w:val="00520A29"/>
    <w:rsid w:val="00522F43"/>
    <w:rsid w:val="00523AA1"/>
    <w:rsid w:val="00527ECB"/>
    <w:rsid w:val="00531549"/>
    <w:rsid w:val="00534F26"/>
    <w:rsid w:val="00536CBF"/>
    <w:rsid w:val="005372D8"/>
    <w:rsid w:val="00537D0C"/>
    <w:rsid w:val="0054190D"/>
    <w:rsid w:val="00544B6A"/>
    <w:rsid w:val="0054512B"/>
    <w:rsid w:val="00553E8C"/>
    <w:rsid w:val="00554A4E"/>
    <w:rsid w:val="00560EA1"/>
    <w:rsid w:val="00570E8D"/>
    <w:rsid w:val="00572167"/>
    <w:rsid w:val="00575E29"/>
    <w:rsid w:val="00581D2D"/>
    <w:rsid w:val="00586B22"/>
    <w:rsid w:val="00594FEC"/>
    <w:rsid w:val="005972E7"/>
    <w:rsid w:val="005A4E30"/>
    <w:rsid w:val="005C0164"/>
    <w:rsid w:val="005C4B82"/>
    <w:rsid w:val="005C547C"/>
    <w:rsid w:val="005C62B4"/>
    <w:rsid w:val="005D72A6"/>
    <w:rsid w:val="005F0118"/>
    <w:rsid w:val="005F0AE6"/>
    <w:rsid w:val="005F5082"/>
    <w:rsid w:val="00606245"/>
    <w:rsid w:val="006140ED"/>
    <w:rsid w:val="00621B90"/>
    <w:rsid w:val="00626660"/>
    <w:rsid w:val="00626915"/>
    <w:rsid w:val="00626F7C"/>
    <w:rsid w:val="00631A71"/>
    <w:rsid w:val="00633C72"/>
    <w:rsid w:val="0063460F"/>
    <w:rsid w:val="00635B22"/>
    <w:rsid w:val="00635DFF"/>
    <w:rsid w:val="006365F7"/>
    <w:rsid w:val="006373EE"/>
    <w:rsid w:val="006415F5"/>
    <w:rsid w:val="00641AC0"/>
    <w:rsid w:val="00644787"/>
    <w:rsid w:val="00650133"/>
    <w:rsid w:val="0065023F"/>
    <w:rsid w:val="006608A8"/>
    <w:rsid w:val="00660978"/>
    <w:rsid w:val="00662FB7"/>
    <w:rsid w:val="00674E22"/>
    <w:rsid w:val="00693DCA"/>
    <w:rsid w:val="006A07EB"/>
    <w:rsid w:val="006B16D6"/>
    <w:rsid w:val="006B245A"/>
    <w:rsid w:val="006C5150"/>
    <w:rsid w:val="006D2909"/>
    <w:rsid w:val="006D565C"/>
    <w:rsid w:val="006F0C7C"/>
    <w:rsid w:val="00703944"/>
    <w:rsid w:val="00705358"/>
    <w:rsid w:val="00707536"/>
    <w:rsid w:val="00710835"/>
    <w:rsid w:val="00714A08"/>
    <w:rsid w:val="00717D40"/>
    <w:rsid w:val="00726943"/>
    <w:rsid w:val="00726ECA"/>
    <w:rsid w:val="00727389"/>
    <w:rsid w:val="00735603"/>
    <w:rsid w:val="00743C0A"/>
    <w:rsid w:val="00753EC8"/>
    <w:rsid w:val="00763177"/>
    <w:rsid w:val="00766237"/>
    <w:rsid w:val="00772042"/>
    <w:rsid w:val="007A5C25"/>
    <w:rsid w:val="007A712E"/>
    <w:rsid w:val="007B6ED3"/>
    <w:rsid w:val="007B7E7A"/>
    <w:rsid w:val="007C4CF4"/>
    <w:rsid w:val="007D29A4"/>
    <w:rsid w:val="007D75A9"/>
    <w:rsid w:val="007E01FE"/>
    <w:rsid w:val="007E050D"/>
    <w:rsid w:val="007E2F7B"/>
    <w:rsid w:val="007E5D88"/>
    <w:rsid w:val="007E743D"/>
    <w:rsid w:val="007F3D9C"/>
    <w:rsid w:val="007F5356"/>
    <w:rsid w:val="0080360E"/>
    <w:rsid w:val="008044C3"/>
    <w:rsid w:val="0081034A"/>
    <w:rsid w:val="0081711D"/>
    <w:rsid w:val="00817C18"/>
    <w:rsid w:val="00823993"/>
    <w:rsid w:val="00824A49"/>
    <w:rsid w:val="00836C56"/>
    <w:rsid w:val="00836EFB"/>
    <w:rsid w:val="008414DC"/>
    <w:rsid w:val="00841E16"/>
    <w:rsid w:val="0084250D"/>
    <w:rsid w:val="00846A1C"/>
    <w:rsid w:val="008507FC"/>
    <w:rsid w:val="00853CFF"/>
    <w:rsid w:val="00854CC5"/>
    <w:rsid w:val="00856083"/>
    <w:rsid w:val="00864A10"/>
    <w:rsid w:val="0086708E"/>
    <w:rsid w:val="00873070"/>
    <w:rsid w:val="008734D9"/>
    <w:rsid w:val="00880724"/>
    <w:rsid w:val="008816AE"/>
    <w:rsid w:val="008845B6"/>
    <w:rsid w:val="008914A1"/>
    <w:rsid w:val="00897125"/>
    <w:rsid w:val="00897BBC"/>
    <w:rsid w:val="008A0C7E"/>
    <w:rsid w:val="008A0FB5"/>
    <w:rsid w:val="008B36B5"/>
    <w:rsid w:val="008B47B1"/>
    <w:rsid w:val="008C4EBD"/>
    <w:rsid w:val="008C5186"/>
    <w:rsid w:val="008C65A7"/>
    <w:rsid w:val="008D1D9C"/>
    <w:rsid w:val="008D3B69"/>
    <w:rsid w:val="008D73AE"/>
    <w:rsid w:val="008E2774"/>
    <w:rsid w:val="008E63C9"/>
    <w:rsid w:val="008F3211"/>
    <w:rsid w:val="00901B24"/>
    <w:rsid w:val="00902C09"/>
    <w:rsid w:val="009066E2"/>
    <w:rsid w:val="00915B6B"/>
    <w:rsid w:val="00921408"/>
    <w:rsid w:val="00921E25"/>
    <w:rsid w:val="00921FE2"/>
    <w:rsid w:val="009233CC"/>
    <w:rsid w:val="00923B8B"/>
    <w:rsid w:val="00930AD0"/>
    <w:rsid w:val="009312B7"/>
    <w:rsid w:val="00934BAE"/>
    <w:rsid w:val="00951762"/>
    <w:rsid w:val="00954135"/>
    <w:rsid w:val="009548FE"/>
    <w:rsid w:val="00955B49"/>
    <w:rsid w:val="00956B46"/>
    <w:rsid w:val="009737B3"/>
    <w:rsid w:val="00973ECC"/>
    <w:rsid w:val="00980862"/>
    <w:rsid w:val="00981FD7"/>
    <w:rsid w:val="00982E6D"/>
    <w:rsid w:val="00985155"/>
    <w:rsid w:val="00985E8B"/>
    <w:rsid w:val="0099196D"/>
    <w:rsid w:val="00995A6A"/>
    <w:rsid w:val="00997FC2"/>
    <w:rsid w:val="009A0CF4"/>
    <w:rsid w:val="009A34B4"/>
    <w:rsid w:val="009A7916"/>
    <w:rsid w:val="009B4BB7"/>
    <w:rsid w:val="009C43BC"/>
    <w:rsid w:val="009D03CA"/>
    <w:rsid w:val="009D0F66"/>
    <w:rsid w:val="009E0BE1"/>
    <w:rsid w:val="009E11A3"/>
    <w:rsid w:val="009E47AB"/>
    <w:rsid w:val="009F3D17"/>
    <w:rsid w:val="009F3DFF"/>
    <w:rsid w:val="009F63C9"/>
    <w:rsid w:val="00A1356E"/>
    <w:rsid w:val="00A22471"/>
    <w:rsid w:val="00A2439B"/>
    <w:rsid w:val="00A24D04"/>
    <w:rsid w:val="00A25126"/>
    <w:rsid w:val="00A3045E"/>
    <w:rsid w:val="00A3306B"/>
    <w:rsid w:val="00A344A2"/>
    <w:rsid w:val="00A421B2"/>
    <w:rsid w:val="00A452EC"/>
    <w:rsid w:val="00A52E23"/>
    <w:rsid w:val="00A56049"/>
    <w:rsid w:val="00A65C41"/>
    <w:rsid w:val="00A663E8"/>
    <w:rsid w:val="00A66448"/>
    <w:rsid w:val="00A739A7"/>
    <w:rsid w:val="00A82A44"/>
    <w:rsid w:val="00A94BD6"/>
    <w:rsid w:val="00AA2255"/>
    <w:rsid w:val="00AA7617"/>
    <w:rsid w:val="00AA7A94"/>
    <w:rsid w:val="00AB31BE"/>
    <w:rsid w:val="00AB37B7"/>
    <w:rsid w:val="00AB4397"/>
    <w:rsid w:val="00AB6289"/>
    <w:rsid w:val="00AC19AD"/>
    <w:rsid w:val="00AC50C2"/>
    <w:rsid w:val="00AC6116"/>
    <w:rsid w:val="00AD167D"/>
    <w:rsid w:val="00AE0472"/>
    <w:rsid w:val="00AE3324"/>
    <w:rsid w:val="00AF16DA"/>
    <w:rsid w:val="00B00057"/>
    <w:rsid w:val="00B05CE6"/>
    <w:rsid w:val="00B061A7"/>
    <w:rsid w:val="00B06EF8"/>
    <w:rsid w:val="00B10527"/>
    <w:rsid w:val="00B141FB"/>
    <w:rsid w:val="00B31FAF"/>
    <w:rsid w:val="00B46F28"/>
    <w:rsid w:val="00B51B17"/>
    <w:rsid w:val="00B54CAC"/>
    <w:rsid w:val="00B5735A"/>
    <w:rsid w:val="00B6240B"/>
    <w:rsid w:val="00B62940"/>
    <w:rsid w:val="00B65E61"/>
    <w:rsid w:val="00B70CA2"/>
    <w:rsid w:val="00B721E8"/>
    <w:rsid w:val="00B72755"/>
    <w:rsid w:val="00B73410"/>
    <w:rsid w:val="00B777C0"/>
    <w:rsid w:val="00B8210A"/>
    <w:rsid w:val="00B84A43"/>
    <w:rsid w:val="00B87F11"/>
    <w:rsid w:val="00B9110F"/>
    <w:rsid w:val="00B9172A"/>
    <w:rsid w:val="00B9677D"/>
    <w:rsid w:val="00BB03D2"/>
    <w:rsid w:val="00BB1AA7"/>
    <w:rsid w:val="00BB2A03"/>
    <w:rsid w:val="00BC09E4"/>
    <w:rsid w:val="00BC6926"/>
    <w:rsid w:val="00BD244C"/>
    <w:rsid w:val="00BD49F0"/>
    <w:rsid w:val="00BD747A"/>
    <w:rsid w:val="00BE64DC"/>
    <w:rsid w:val="00BF0CDB"/>
    <w:rsid w:val="00BF3088"/>
    <w:rsid w:val="00BF5DEB"/>
    <w:rsid w:val="00BF648E"/>
    <w:rsid w:val="00C0445C"/>
    <w:rsid w:val="00C04F39"/>
    <w:rsid w:val="00C051FD"/>
    <w:rsid w:val="00C06606"/>
    <w:rsid w:val="00C06DFF"/>
    <w:rsid w:val="00C077AB"/>
    <w:rsid w:val="00C138D8"/>
    <w:rsid w:val="00C20050"/>
    <w:rsid w:val="00C21CB0"/>
    <w:rsid w:val="00C23EDA"/>
    <w:rsid w:val="00C24FBF"/>
    <w:rsid w:val="00C277BC"/>
    <w:rsid w:val="00C347F7"/>
    <w:rsid w:val="00C3602A"/>
    <w:rsid w:val="00C36321"/>
    <w:rsid w:val="00C3634B"/>
    <w:rsid w:val="00C4133A"/>
    <w:rsid w:val="00C466CA"/>
    <w:rsid w:val="00C5094A"/>
    <w:rsid w:val="00C55647"/>
    <w:rsid w:val="00C62DC8"/>
    <w:rsid w:val="00C63281"/>
    <w:rsid w:val="00C63317"/>
    <w:rsid w:val="00C71A6E"/>
    <w:rsid w:val="00C8470B"/>
    <w:rsid w:val="00C92803"/>
    <w:rsid w:val="00C94841"/>
    <w:rsid w:val="00CA373D"/>
    <w:rsid w:val="00CA7AC9"/>
    <w:rsid w:val="00CB483F"/>
    <w:rsid w:val="00CB5790"/>
    <w:rsid w:val="00CB5C8D"/>
    <w:rsid w:val="00CD58BE"/>
    <w:rsid w:val="00CE4B0E"/>
    <w:rsid w:val="00CE62E8"/>
    <w:rsid w:val="00D00A59"/>
    <w:rsid w:val="00D02677"/>
    <w:rsid w:val="00D13D9D"/>
    <w:rsid w:val="00D22E24"/>
    <w:rsid w:val="00D24D85"/>
    <w:rsid w:val="00D258E0"/>
    <w:rsid w:val="00D27237"/>
    <w:rsid w:val="00D2729C"/>
    <w:rsid w:val="00D32FFD"/>
    <w:rsid w:val="00D33E58"/>
    <w:rsid w:val="00D36016"/>
    <w:rsid w:val="00D41DB1"/>
    <w:rsid w:val="00D60600"/>
    <w:rsid w:val="00D73862"/>
    <w:rsid w:val="00D76B35"/>
    <w:rsid w:val="00D813B5"/>
    <w:rsid w:val="00D86FC7"/>
    <w:rsid w:val="00D91A08"/>
    <w:rsid w:val="00D9476B"/>
    <w:rsid w:val="00D96C21"/>
    <w:rsid w:val="00DA348C"/>
    <w:rsid w:val="00DA46BF"/>
    <w:rsid w:val="00DA6092"/>
    <w:rsid w:val="00DA7985"/>
    <w:rsid w:val="00DB136B"/>
    <w:rsid w:val="00DB57FF"/>
    <w:rsid w:val="00DC29A9"/>
    <w:rsid w:val="00DD5E9B"/>
    <w:rsid w:val="00DF1EF6"/>
    <w:rsid w:val="00DF215D"/>
    <w:rsid w:val="00E02188"/>
    <w:rsid w:val="00E1161B"/>
    <w:rsid w:val="00E116AB"/>
    <w:rsid w:val="00E12195"/>
    <w:rsid w:val="00E124AB"/>
    <w:rsid w:val="00E15D5F"/>
    <w:rsid w:val="00E2097C"/>
    <w:rsid w:val="00E21D51"/>
    <w:rsid w:val="00E23DAB"/>
    <w:rsid w:val="00E23E85"/>
    <w:rsid w:val="00E32313"/>
    <w:rsid w:val="00E33E92"/>
    <w:rsid w:val="00E41500"/>
    <w:rsid w:val="00E44EBE"/>
    <w:rsid w:val="00E54A2D"/>
    <w:rsid w:val="00E55193"/>
    <w:rsid w:val="00E608D4"/>
    <w:rsid w:val="00E62B01"/>
    <w:rsid w:val="00E67EBB"/>
    <w:rsid w:val="00E704AE"/>
    <w:rsid w:val="00E77259"/>
    <w:rsid w:val="00E77FAF"/>
    <w:rsid w:val="00E800D0"/>
    <w:rsid w:val="00E86872"/>
    <w:rsid w:val="00E86994"/>
    <w:rsid w:val="00EA4F33"/>
    <w:rsid w:val="00EA6854"/>
    <w:rsid w:val="00EC3C84"/>
    <w:rsid w:val="00EE0DC7"/>
    <w:rsid w:val="00F021DD"/>
    <w:rsid w:val="00F0575F"/>
    <w:rsid w:val="00F07B81"/>
    <w:rsid w:val="00F1459F"/>
    <w:rsid w:val="00F25F7A"/>
    <w:rsid w:val="00F25FF8"/>
    <w:rsid w:val="00F26138"/>
    <w:rsid w:val="00F31CE1"/>
    <w:rsid w:val="00F35259"/>
    <w:rsid w:val="00F36E89"/>
    <w:rsid w:val="00F44242"/>
    <w:rsid w:val="00F44C13"/>
    <w:rsid w:val="00F50E29"/>
    <w:rsid w:val="00F51ADD"/>
    <w:rsid w:val="00F537EE"/>
    <w:rsid w:val="00F56FB6"/>
    <w:rsid w:val="00F658DB"/>
    <w:rsid w:val="00F71902"/>
    <w:rsid w:val="00F73C07"/>
    <w:rsid w:val="00F76F4F"/>
    <w:rsid w:val="00F80F01"/>
    <w:rsid w:val="00F86465"/>
    <w:rsid w:val="00F87429"/>
    <w:rsid w:val="00F9100B"/>
    <w:rsid w:val="00F912B8"/>
    <w:rsid w:val="00F93A7C"/>
    <w:rsid w:val="00F93E9B"/>
    <w:rsid w:val="00F96561"/>
    <w:rsid w:val="00FA70A5"/>
    <w:rsid w:val="00FB0927"/>
    <w:rsid w:val="00FC2D09"/>
    <w:rsid w:val="00FC7125"/>
    <w:rsid w:val="00FD16D3"/>
    <w:rsid w:val="00FD711F"/>
    <w:rsid w:val="00FE133F"/>
    <w:rsid w:val="00FE3A9D"/>
    <w:rsid w:val="00FE5481"/>
    <w:rsid w:val="00FE655E"/>
    <w:rsid w:val="00FF5941"/>
    <w:rsid w:val="00FF5CEA"/>
    <w:rsid w:val="00FF6037"/>
    <w:rsid w:val="00FF77EC"/>
    <w:rsid w:val="03074E34"/>
    <w:rsid w:val="03CF5BA3"/>
    <w:rsid w:val="04D92435"/>
    <w:rsid w:val="06155D6B"/>
    <w:rsid w:val="082EDBFF"/>
    <w:rsid w:val="0A94A404"/>
    <w:rsid w:val="0AC2B8D5"/>
    <w:rsid w:val="0C77BA8C"/>
    <w:rsid w:val="0DF5650C"/>
    <w:rsid w:val="0F01858F"/>
    <w:rsid w:val="117729DA"/>
    <w:rsid w:val="123F6070"/>
    <w:rsid w:val="1256E074"/>
    <w:rsid w:val="133A127C"/>
    <w:rsid w:val="158E8136"/>
    <w:rsid w:val="17C5E3D4"/>
    <w:rsid w:val="1D54850B"/>
    <w:rsid w:val="1EE0A38A"/>
    <w:rsid w:val="211D0417"/>
    <w:rsid w:val="2496739F"/>
    <w:rsid w:val="259BE94D"/>
    <w:rsid w:val="26C2EAD2"/>
    <w:rsid w:val="274A8835"/>
    <w:rsid w:val="298D8D65"/>
    <w:rsid w:val="2B7F4994"/>
    <w:rsid w:val="2C44E566"/>
    <w:rsid w:val="2D871E7C"/>
    <w:rsid w:val="31A95878"/>
    <w:rsid w:val="33C78B8A"/>
    <w:rsid w:val="33DE01EC"/>
    <w:rsid w:val="34641AC5"/>
    <w:rsid w:val="347B625B"/>
    <w:rsid w:val="37EC25B1"/>
    <w:rsid w:val="3D03E502"/>
    <w:rsid w:val="3E874CE8"/>
    <w:rsid w:val="3F398C70"/>
    <w:rsid w:val="41DF55EA"/>
    <w:rsid w:val="435977FA"/>
    <w:rsid w:val="43A2C810"/>
    <w:rsid w:val="4756661A"/>
    <w:rsid w:val="48F2367B"/>
    <w:rsid w:val="4986EAB8"/>
    <w:rsid w:val="4B2EE87D"/>
    <w:rsid w:val="4DB8EF05"/>
    <w:rsid w:val="4ECC0051"/>
    <w:rsid w:val="5040280B"/>
    <w:rsid w:val="50E445A1"/>
    <w:rsid w:val="512CACE0"/>
    <w:rsid w:val="513AF816"/>
    <w:rsid w:val="516487AA"/>
    <w:rsid w:val="53E8F96C"/>
    <w:rsid w:val="63409116"/>
    <w:rsid w:val="63B992C7"/>
    <w:rsid w:val="63E722D5"/>
    <w:rsid w:val="66F9EB40"/>
    <w:rsid w:val="69590409"/>
    <w:rsid w:val="6AC05062"/>
    <w:rsid w:val="6D080FF3"/>
    <w:rsid w:val="6D739C42"/>
    <w:rsid w:val="70045F13"/>
    <w:rsid w:val="716198AF"/>
    <w:rsid w:val="71BCD4B4"/>
    <w:rsid w:val="72FFFAD0"/>
    <w:rsid w:val="750AA03E"/>
    <w:rsid w:val="75881F71"/>
    <w:rsid w:val="76D0AC43"/>
    <w:rsid w:val="771CDABA"/>
    <w:rsid w:val="781327CA"/>
    <w:rsid w:val="79DB899B"/>
    <w:rsid w:val="7CCB1236"/>
    <w:rsid w:val="7D47B623"/>
    <w:rsid w:val="7F3DB78D"/>
    <w:rsid w:val="7F5BB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1B2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64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64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rsid w:val="00A56049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rsid w:val="00A56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A56049"/>
    <w:rPr>
      <w:vertAlign w:val="superscript"/>
    </w:rPr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A560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1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1B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1B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B2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91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00B"/>
  </w:style>
  <w:style w:type="paragraph" w:styleId="Stopka">
    <w:name w:val="footer"/>
    <w:basedOn w:val="Normalny"/>
    <w:link w:val="StopkaZnak"/>
    <w:uiPriority w:val="99"/>
    <w:unhideWhenUsed/>
    <w:rsid w:val="00F91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00B"/>
  </w:style>
  <w:style w:type="character" w:customStyle="1" w:styleId="Nagwek1Znak">
    <w:name w:val="Nagłówek 1 Znak"/>
    <w:basedOn w:val="Domylnaczcionkaakapitu"/>
    <w:link w:val="Nagwek1"/>
    <w:uiPriority w:val="9"/>
    <w:rsid w:val="00BF64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F64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5FF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25FF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25FF8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F25FF8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13D9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6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09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unkt 1.1 Znak"/>
    <w:link w:val="Akapitzlist"/>
    <w:uiPriority w:val="34"/>
    <w:rsid w:val="00213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9D666DF9D85048B8AFE5549371DD1B" ma:contentTypeVersion="6" ma:contentTypeDescription="Utwórz nowy dokument." ma:contentTypeScope="" ma:versionID="9f76542837a54bb0a445fc5f00b15e84">
  <xsd:schema xmlns:xsd="http://www.w3.org/2001/XMLSchema" xmlns:xs="http://www.w3.org/2001/XMLSchema" xmlns:p="http://schemas.microsoft.com/office/2006/metadata/properties" xmlns:ns2="1fc9f9fe-bd5d-4cc9-a90a-b71a252ec609" xmlns:ns3="39e1b3c8-75cb-4e1e-a2d8-b144ba3dc88c" targetNamespace="http://schemas.microsoft.com/office/2006/metadata/properties" ma:root="true" ma:fieldsID="98c1fbc24a28592c119b62d1f158e052" ns2:_="" ns3:_="">
    <xsd:import namespace="1fc9f9fe-bd5d-4cc9-a90a-b71a252ec609"/>
    <xsd:import namespace="39e1b3c8-75cb-4e1e-a2d8-b144ba3dc8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9f9fe-bd5d-4cc9-a90a-b71a252ec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1b3c8-75cb-4e1e-a2d8-b144ba3dc8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F03B06-E578-4A59-B9D0-2390DEAFDE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484824-AC0D-4F5D-8963-0A65156CBB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F61CBB-DA32-499E-B3E2-BC26ADA34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9f9fe-bd5d-4cc9-a90a-b71a252ec609"/>
    <ds:schemaRef ds:uri="39e1b3c8-75cb-4e1e-a2d8-b144ba3dc8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2023-08-14T13:06:00Z</dcterms:created>
  <dcterms:modified xsi:type="dcterms:W3CDTF">2023-12-05T07:16:00Z</dcterms:modified>
</cp:coreProperties>
</file>